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pStyle w:val="3"/>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河南省洪杉新材料有限公司年产4800吨水性钢结构防火涂料项目</w:t>
      </w:r>
      <w:r>
        <w:rPr>
          <w:rFonts w:hint="default" w:ascii="Times New Roman" w:hAnsi="Times New Roman" w:eastAsia="宋体" w:cs="Times New Roman"/>
          <w:b/>
          <w:bCs/>
          <w:color w:val="auto"/>
          <w:kern w:val="2"/>
          <w:sz w:val="36"/>
          <w:szCs w:val="36"/>
          <w:lang w:val="en-US" w:eastAsia="zh-CN"/>
        </w:rPr>
        <w:t>竣工环境保护验收监测报告表</w:t>
      </w:r>
      <w:r>
        <w:rPr>
          <w:rFonts w:hint="eastAsia" w:ascii="Times New Roman" w:hAnsi="Times New Roman" w:eastAsia="宋体" w:cs="Times New Roman"/>
          <w:b/>
          <w:bCs/>
          <w:color w:val="auto"/>
          <w:kern w:val="2"/>
          <w:sz w:val="36"/>
          <w:szCs w:val="36"/>
          <w:lang w:val="en-US" w:eastAsia="zh-CN"/>
        </w:rPr>
        <w:t>（一期）</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河南省洪杉新材料有限公司</w:t>
      </w:r>
    </w:p>
    <w:p>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河南省洪杉新材料有限公司</w:t>
      </w: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4</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5</w:t>
      </w:r>
      <w:r>
        <w:rPr>
          <w:rFonts w:hint="default" w:ascii="Times New Roman" w:hAnsi="Times New Roman" w:cs="Times New Roman" w:eastAsiaTheme="minorEastAsia"/>
          <w:b w:val="0"/>
          <w:bCs w:val="0"/>
          <w:color w:val="auto"/>
          <w:kern w:val="2"/>
          <w:sz w:val="32"/>
          <w:szCs w:val="32"/>
          <w:u w:val="none"/>
          <w:lang w:val="en-US" w:eastAsia="zh-CN"/>
        </w:rPr>
        <w:t>月</w:t>
      </w:r>
    </w:p>
    <w:p>
      <w:pPr>
        <w:keepNext w:val="0"/>
        <w:keepLines w:val="0"/>
        <w:pageBreakBefore w:val="0"/>
        <w:widowControl w:val="0"/>
        <w:kinsoku/>
        <w:wordWrap/>
        <w:overflowPunct/>
        <w:topLinePunct w:val="0"/>
        <w:autoSpaceDE/>
        <w:autoSpaceDN/>
        <w:bidi w:val="0"/>
        <w:adjustRightInd/>
        <w:snapToGrid/>
        <w:spacing w:after="0" w:afterLines="0" w:afterAutospacing="0" w:line="24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位</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河南省洪杉新材料有限公司</w:t>
      </w:r>
    </w:p>
    <w:p>
      <w:pPr>
        <w:keepNext w:val="0"/>
        <w:keepLines w:val="0"/>
        <w:pageBreakBefore w:val="0"/>
        <w:widowControl w:val="0"/>
        <w:kinsoku/>
        <w:wordWrap/>
        <w:overflowPunct/>
        <w:topLinePunct w:val="0"/>
        <w:autoSpaceDE/>
        <w:autoSpaceDN/>
        <w:bidi w:val="0"/>
        <w:adjustRightInd/>
        <w:snapToGrid/>
        <w:spacing w:after="0" w:afterLines="0" w:afterAutospacing="0" w:line="24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郑志方</w:t>
      </w:r>
    </w:p>
    <w:p>
      <w:pPr>
        <w:keepNext w:val="0"/>
        <w:keepLines w:val="0"/>
        <w:pageBreakBefore w:val="0"/>
        <w:widowControl w:val="0"/>
        <w:kinsoku/>
        <w:wordWrap/>
        <w:overflowPunct/>
        <w:topLinePunct w:val="0"/>
        <w:autoSpaceDE/>
        <w:autoSpaceDN/>
        <w:bidi w:val="0"/>
        <w:adjustRightInd/>
        <w:snapToGrid/>
        <w:spacing w:after="0" w:afterLines="0" w:afterAutospacing="0" w:line="240" w:lineRule="auto"/>
        <w:jc w:val="both"/>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联系人：郑志方</w:t>
      </w:r>
    </w:p>
    <w:p>
      <w:pPr>
        <w:keepNext w:val="0"/>
        <w:keepLines w:val="0"/>
        <w:pageBreakBefore w:val="0"/>
        <w:widowControl w:val="0"/>
        <w:kinsoku/>
        <w:wordWrap/>
        <w:overflowPunct/>
        <w:topLinePunct w:val="0"/>
        <w:autoSpaceDE/>
        <w:autoSpaceDN/>
        <w:bidi w:val="0"/>
        <w:adjustRightInd/>
        <w:snapToGrid/>
        <w:spacing w:after="0" w:afterLines="0" w:afterAutospacing="0" w:line="24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15903032999</w:t>
      </w:r>
    </w:p>
    <w:p>
      <w:pPr>
        <w:keepNext w:val="0"/>
        <w:keepLines w:val="0"/>
        <w:pageBreakBefore w:val="0"/>
        <w:widowControl w:val="0"/>
        <w:kinsoku/>
        <w:wordWrap/>
        <w:overflowPunct/>
        <w:topLinePunct w:val="0"/>
        <w:autoSpaceDE/>
        <w:autoSpaceDN/>
        <w:bidi w:val="0"/>
        <w:adjustRightInd/>
        <w:snapToGrid/>
        <w:spacing w:after="0" w:afterLines="0" w:afterAutospacing="0" w:line="24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址：长垣市蒲北</w:t>
      </w:r>
      <w:r>
        <w:rPr>
          <w:rFonts w:hint="eastAsia" w:ascii="Times New Roman" w:hAnsi="Times New Roman" w:eastAsia="宋体" w:cs="Times New Roman"/>
          <w:b w:val="0"/>
          <w:bCs w:val="0"/>
          <w:color w:val="auto"/>
          <w:kern w:val="2"/>
          <w:sz w:val="28"/>
          <w:szCs w:val="28"/>
          <w:lang w:val="en-US" w:eastAsia="zh-CN"/>
        </w:rPr>
        <w:t>防腐蚀及新材料产业园鄱阳湖路与汝河路交叉口向北50米</w:t>
      </w:r>
    </w:p>
    <w:p>
      <w:pPr>
        <w:pStyle w:val="3"/>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pPr>
        <w:jc w:val="both"/>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山东尚水检测有限公司</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法</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人代表：</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穆春盛</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highlight w:val="none"/>
          <w:lang w:val="en-US" w:eastAsia="zh-CN"/>
        </w:rPr>
      </w:pPr>
      <w:r>
        <w:rPr>
          <w:rFonts w:hint="eastAsia" w:ascii="Times New Roman" w:hAnsi="Times New Roman" w:cs="Times New Roman" w:eastAsiaTheme="minorEastAsia"/>
          <w:b w:val="0"/>
          <w:bCs w:val="0"/>
          <w:color w:val="auto"/>
          <w:kern w:val="2"/>
          <w:sz w:val="28"/>
          <w:szCs w:val="28"/>
          <w:highlight w:val="none"/>
          <w:lang w:val="en-US" w:eastAsia="zh-CN"/>
        </w:rPr>
        <w:t>联</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系人：宋管印</w:t>
      </w:r>
    </w:p>
    <w:p>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highlight w:val="none"/>
          <w:lang w:val="en-US" w:eastAsia="zh-CN"/>
        </w:rPr>
      </w:pPr>
      <w:r>
        <w:rPr>
          <w:rFonts w:hint="default" w:ascii="Times New Roman" w:hAnsi="Times New Roman" w:cs="Times New Roman" w:eastAsiaTheme="minorEastAsia"/>
          <w:b w:val="0"/>
          <w:bCs w:val="0"/>
          <w:color w:val="auto"/>
          <w:kern w:val="2"/>
          <w:sz w:val="28"/>
          <w:szCs w:val="28"/>
          <w:highlight w:val="none"/>
          <w:lang w:val="en-US" w:eastAsia="zh-CN"/>
        </w:rPr>
        <w:t>联系方</w:t>
      </w:r>
      <w:r>
        <w:rPr>
          <w:rFonts w:hint="default"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式：</w:t>
      </w:r>
      <w:r>
        <w:rPr>
          <w:rFonts w:hint="eastAsia" w:ascii="Times New Roman" w:hAnsi="Times New Roman" w:cs="Times New Roman" w:eastAsiaTheme="minorEastAsia"/>
          <w:b w:val="0"/>
          <w:bCs w:val="0"/>
          <w:color w:val="000000" w:themeColor="text1"/>
          <w:kern w:val="2"/>
          <w:sz w:val="28"/>
          <w:szCs w:val="28"/>
          <w:highlight w:val="none"/>
          <w:lang w:val="en-US" w:eastAsia="zh-CN"/>
          <w14:textFill>
            <w14:solidFill>
              <w14:schemeClr w14:val="tx1"/>
            </w14:solidFill>
          </w14:textFill>
        </w:rPr>
        <w:t>18336096020</w:t>
      </w: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河南省洪杉新材料有限公司</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项目负责人</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郑志方</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联系人：郑志方</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15903032999</w:t>
      </w:r>
    </w:p>
    <w:p>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址：长垣市蒲北</w:t>
      </w:r>
      <w:r>
        <w:rPr>
          <w:rFonts w:hint="eastAsia" w:ascii="Times New Roman" w:hAnsi="Times New Roman" w:eastAsia="宋体" w:cs="Times New Roman"/>
          <w:b w:val="0"/>
          <w:bCs w:val="0"/>
          <w:color w:val="auto"/>
          <w:kern w:val="2"/>
          <w:sz w:val="28"/>
          <w:szCs w:val="28"/>
          <w:lang w:val="en-US" w:eastAsia="zh-CN"/>
        </w:rPr>
        <w:t>防腐蚀及新材料产业园鄱阳湖路与汝河路交叉口向北50米</w:t>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8"/>
        <w:tblW w:w="92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2009"/>
        <w:gridCol w:w="2208"/>
        <w:gridCol w:w="1156"/>
        <w:gridCol w:w="981"/>
        <w:gridCol w:w="11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年产4800吨水性钢结构防火涂料项目</w:t>
            </w:r>
            <w:r>
              <w:rPr>
                <w:rFonts w:hint="eastAsia" w:ascii="Times New Roman" w:hAnsi="Times New Roman" w:cs="Times New Roman" w:eastAsiaTheme="minorEastAsia"/>
                <w:color w:val="auto"/>
                <w:sz w:val="24"/>
                <w:szCs w:val="24"/>
                <w:highlight w:val="none"/>
                <w:lang w:val="en-US" w:eastAsia="zh-CN"/>
              </w:rPr>
              <w:t>（一期）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河南省洪杉新材料有限公司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新建</w:t>
            </w:r>
            <w:r>
              <w:rPr>
                <w:rFonts w:hint="eastAsia" w:ascii="Times New Roman" w:hAnsi="Times New Roman" w:cs="Times New Roman" w:eastAsiaTheme="minorEastAsia"/>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lang w:val="en-US" w:eastAsia="zh-CN"/>
              </w:rPr>
              <w:t>改扩建√ 技改  迁建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长垣市蒲北</w:t>
            </w:r>
            <w:r>
              <w:rPr>
                <w:rFonts w:hint="eastAsia" w:ascii="Times New Roman" w:hAnsi="Times New Roman" w:cs="Times New Roman" w:eastAsiaTheme="minorEastAsia"/>
                <w:color w:val="auto"/>
                <w:sz w:val="24"/>
                <w:szCs w:val="24"/>
                <w:highlight w:val="none"/>
                <w:lang w:val="en-US" w:eastAsia="zh-CN"/>
              </w:rPr>
              <w:t>防腐蚀及新材料产业园鄱阳湖路与汝河路交叉口向北50米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非膨胀型水性钢结构防火涂料、膨胀型水性钢结构防火涂料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200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23</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8</w:t>
            </w:r>
            <w:r>
              <w:rPr>
                <w:rFonts w:hint="default" w:ascii="Times New Roman" w:hAnsi="Times New Roman" w:cs="Times New Roman" w:eastAsiaTheme="minorEastAsia"/>
                <w:color w:val="auto"/>
                <w:sz w:val="24"/>
                <w:szCs w:val="24"/>
                <w:highlight w:val="none"/>
                <w:lang w:val="en-US" w:eastAsia="zh-CN"/>
              </w:rPr>
              <w:t>月</w:t>
            </w:r>
          </w:p>
        </w:tc>
        <w:tc>
          <w:tcPr>
            <w:tcW w:w="220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开工建设时间</w:t>
            </w:r>
          </w:p>
        </w:tc>
        <w:tc>
          <w:tcPr>
            <w:tcW w:w="32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23</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9月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200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24</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4</w:t>
            </w:r>
            <w:r>
              <w:rPr>
                <w:rFonts w:hint="default" w:ascii="Times New Roman" w:hAnsi="Times New Roman" w:cs="Times New Roman" w:eastAsiaTheme="minorEastAsia"/>
                <w:color w:val="auto"/>
                <w:sz w:val="24"/>
                <w:szCs w:val="24"/>
                <w:highlight w:val="none"/>
                <w:lang w:val="en-US" w:eastAsia="zh-CN"/>
              </w:rPr>
              <w:t>月</w:t>
            </w:r>
          </w:p>
        </w:tc>
        <w:tc>
          <w:tcPr>
            <w:tcW w:w="220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验收现场监测时间</w:t>
            </w:r>
          </w:p>
        </w:tc>
        <w:tc>
          <w:tcPr>
            <w:tcW w:w="32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2024年4月9日~4月10日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审批部门</w:t>
            </w:r>
          </w:p>
        </w:tc>
        <w:tc>
          <w:tcPr>
            <w:tcW w:w="200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cs="Times New Roman" w:eastAsiaTheme="minorEastAsia"/>
                <w:color w:val="auto"/>
                <w:sz w:val="24"/>
                <w:szCs w:val="24"/>
                <w:highlight w:val="none"/>
                <w:lang w:val="en-US" w:eastAsia="zh-CN"/>
              </w:rPr>
              <w:t>（长环审（2</w:t>
            </w:r>
            <w:r>
              <w:rPr>
                <w:rFonts w:hint="eastAsia" w:ascii="Times New Roman" w:hAnsi="Times New Roman" w:cs="Times New Roman" w:eastAsiaTheme="minorEastAsia"/>
                <w:color w:val="auto"/>
                <w:sz w:val="24"/>
                <w:szCs w:val="24"/>
                <w:highlight w:val="none"/>
                <w:lang w:val="en-US" w:eastAsia="zh-CN"/>
              </w:rPr>
              <w:t>023</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50</w:t>
            </w:r>
            <w:r>
              <w:rPr>
                <w:rFonts w:hint="default" w:ascii="Times New Roman" w:hAnsi="Times New Roman" w:cs="Times New Roman" w:eastAsiaTheme="minorEastAsia"/>
                <w:color w:val="auto"/>
                <w:sz w:val="24"/>
                <w:szCs w:val="24"/>
                <w:highlight w:val="none"/>
                <w:lang w:val="en-US" w:eastAsia="zh-CN"/>
              </w:rPr>
              <w:t>号</w:t>
            </w:r>
            <w:r>
              <w:rPr>
                <w:rFonts w:hint="eastAsia" w:ascii="Times New Roman" w:hAnsi="Times New Roman" w:cs="Times New Roman" w:eastAsiaTheme="minorEastAsia"/>
                <w:color w:val="auto"/>
                <w:sz w:val="24"/>
                <w:szCs w:val="24"/>
                <w:highlight w:val="none"/>
                <w:lang w:val="en-US" w:eastAsia="zh-CN"/>
              </w:rPr>
              <w:t>）</w:t>
            </w:r>
          </w:p>
        </w:tc>
        <w:tc>
          <w:tcPr>
            <w:tcW w:w="220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编制单位</w:t>
            </w:r>
          </w:p>
        </w:tc>
        <w:tc>
          <w:tcPr>
            <w:tcW w:w="32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河南秋晟环境科技有限公司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200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20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3289" w:type="dxa"/>
            <w:gridSpan w:val="3"/>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200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23</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20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15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10</w:t>
            </w:r>
            <w:r>
              <w:rPr>
                <w:rFonts w:hint="default" w:ascii="Times New Roman" w:hAnsi="Times New Roman" w:cs="Times New Roman" w:eastAsiaTheme="minorEastAsia"/>
                <w:color w:val="auto"/>
                <w:sz w:val="24"/>
                <w:szCs w:val="24"/>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4.35</w:t>
            </w:r>
            <w:r>
              <w:rPr>
                <w:rFonts w:hint="default" w:ascii="Times New Roman" w:hAnsi="Times New Roman" w:eastAsia="宋体" w:cs="Times New Roman"/>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200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15</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208"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156"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万</w:t>
            </w:r>
          </w:p>
        </w:tc>
        <w:tc>
          <w:tcPr>
            <w:tcW w:w="98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52"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6.67</w:t>
            </w:r>
            <w:r>
              <w:rPr>
                <w:rFonts w:hint="default" w:ascii="Times New Roman" w:hAnsi="Times New Roman" w:eastAsia="宋体" w:cs="Times New Roman"/>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751" w:type="dxa"/>
            <w:vAlign w:val="center"/>
          </w:tcPr>
          <w:p>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7506" w:type="dxa"/>
            <w:gridSpan w:val="5"/>
            <w:vAlign w:val="center"/>
          </w:tcPr>
          <w:p>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2" w:hRule="atLeast"/>
          <w:jc w:val="center"/>
        </w:trPr>
        <w:tc>
          <w:tcPr>
            <w:tcW w:w="9257" w:type="dxa"/>
            <w:gridSpan w:val="6"/>
            <w:vAlign w:val="center"/>
          </w:tcPr>
          <w:p>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bCs/>
                <w:sz w:val="24"/>
                <w:szCs w:val="24"/>
                <w:lang w:eastAsia="zh-CN"/>
              </w:rPr>
            </w:pPr>
            <w:r>
              <w:rPr>
                <w:rFonts w:hint="eastAsia" w:ascii="Times New Roman" w:hAnsi="Times New Roman" w:eastAsia="宋体" w:cs="Times New Roman"/>
                <w:color w:val="auto"/>
                <w:sz w:val="24"/>
                <w:szCs w:val="24"/>
                <w:highlight w:val="none"/>
                <w:lang w:val="en-US" w:eastAsia="zh-CN"/>
              </w:rPr>
              <w:t>河南省洪杉新材料有限公司</w:t>
            </w:r>
            <w:r>
              <w:rPr>
                <w:rFonts w:hint="eastAsia" w:ascii="Times New Roman" w:hAnsi="Times New Roman" w:eastAsia="宋体" w:cs="Times New Roman"/>
                <w:bCs/>
                <w:sz w:val="24"/>
                <w:szCs w:val="24"/>
                <w:lang w:eastAsia="zh-CN"/>
              </w:rPr>
              <w:t>在</w:t>
            </w:r>
            <w:r>
              <w:rPr>
                <w:rFonts w:hint="default" w:ascii="Times New Roman" w:hAnsi="Times New Roman" w:cs="Times New Roman" w:eastAsiaTheme="minorEastAsia"/>
                <w:color w:val="auto"/>
                <w:sz w:val="24"/>
                <w:szCs w:val="24"/>
                <w:highlight w:val="none"/>
                <w:lang w:val="en-US" w:eastAsia="zh-CN"/>
              </w:rPr>
              <w:t>长垣市蒲北</w:t>
            </w:r>
            <w:r>
              <w:rPr>
                <w:rFonts w:hint="eastAsia" w:ascii="Times New Roman" w:hAnsi="Times New Roman" w:cs="Times New Roman" w:eastAsiaTheme="minorEastAsia"/>
                <w:color w:val="auto"/>
                <w:sz w:val="24"/>
                <w:szCs w:val="24"/>
                <w:highlight w:val="none"/>
                <w:lang w:val="en-US" w:eastAsia="zh-CN"/>
              </w:rPr>
              <w:t>防腐蚀及新材料产业园鄱阳湖路与汝河路交叉口向北50米厂房</w:t>
            </w:r>
            <w:r>
              <w:rPr>
                <w:rFonts w:hint="eastAsia" w:ascii="Times New Roman" w:hAnsi="Times New Roman" w:eastAsia="宋体" w:cs="Times New Roman"/>
                <w:sz w:val="24"/>
                <w:szCs w:val="24"/>
                <w:lang w:eastAsia="zh-CN"/>
              </w:rPr>
              <w:t>内</w:t>
            </w:r>
            <w:r>
              <w:rPr>
                <w:rFonts w:hint="eastAsia" w:ascii="Times New Roman" w:hAnsi="Times New Roman" w:eastAsia="宋体" w:cs="Times New Roman"/>
                <w:bCs/>
                <w:sz w:val="24"/>
                <w:szCs w:val="24"/>
                <w:lang w:eastAsia="zh-CN"/>
              </w:rPr>
              <w:t>投资</w:t>
            </w:r>
            <w:r>
              <w:rPr>
                <w:rFonts w:hint="eastAsia" w:ascii="Times New Roman" w:hAnsi="Times New Roman" w:eastAsia="宋体" w:cs="Times New Roman"/>
                <w:bCs/>
                <w:sz w:val="24"/>
                <w:szCs w:val="24"/>
                <w:lang w:val="en-US" w:eastAsia="zh-CN"/>
              </w:rPr>
              <w:t>23</w:t>
            </w:r>
            <w:r>
              <w:rPr>
                <w:rFonts w:hint="default" w:ascii="Times New Roman" w:hAnsi="Times New Roman" w:eastAsia="宋体" w:cs="Times New Roman"/>
                <w:bCs/>
                <w:sz w:val="24"/>
                <w:szCs w:val="24"/>
                <w:lang w:eastAsia="zh-CN"/>
              </w:rPr>
              <w:t>0</w:t>
            </w:r>
            <w:r>
              <w:rPr>
                <w:rFonts w:hint="eastAsia" w:ascii="Times New Roman" w:hAnsi="Times New Roman" w:eastAsia="宋体" w:cs="Times New Roman"/>
                <w:bCs/>
                <w:sz w:val="24"/>
                <w:szCs w:val="24"/>
                <w:lang w:eastAsia="zh-CN"/>
              </w:rPr>
              <w:t>万元建设</w:t>
            </w:r>
            <w:r>
              <w:rPr>
                <w:rFonts w:hint="eastAsia" w:ascii="Times New Roman" w:hAnsi="Times New Roman" w:eastAsia="宋体" w:cs="Times New Roman"/>
                <w:color w:val="auto"/>
                <w:sz w:val="24"/>
                <w:szCs w:val="24"/>
                <w:highlight w:val="none"/>
                <w:lang w:val="en-US" w:eastAsia="zh-CN"/>
              </w:rPr>
              <w:t>年产4800吨水性钢结构防火涂料项目</w:t>
            </w:r>
            <w:r>
              <w:rPr>
                <w:rFonts w:hint="eastAsia" w:ascii="Times New Roman" w:hAnsi="Times New Roman" w:eastAsia="宋体" w:cs="Times New Roman"/>
                <w:bCs/>
                <w:sz w:val="24"/>
                <w:szCs w:val="24"/>
                <w:lang w:eastAsia="zh-CN"/>
              </w:rPr>
              <w:t>。经现场勘查，</w:t>
            </w:r>
            <w:r>
              <w:rPr>
                <w:rFonts w:hint="eastAsia" w:ascii="Times New Roman" w:hAnsi="Times New Roman" w:eastAsia="宋体" w:cs="Times New Roman"/>
                <w:bCs/>
                <w:sz w:val="24"/>
                <w:szCs w:val="24"/>
                <w:lang w:val="en-US" w:eastAsia="zh-CN"/>
              </w:rPr>
              <w:t>本项目一</w:t>
            </w:r>
            <w:r>
              <w:rPr>
                <w:rFonts w:hint="eastAsia" w:ascii="Times New Roman" w:hAnsi="Times New Roman" w:cs="Times New Roman" w:eastAsiaTheme="minorEastAsia"/>
                <w:color w:val="auto"/>
                <w:sz w:val="24"/>
                <w:szCs w:val="24"/>
                <w:highlight w:val="none"/>
                <w:lang w:val="en-US" w:eastAsia="zh-CN"/>
              </w:rPr>
              <w:t>期建设已完成，一期投资150万元，一期建设内容为年产2500吨水性钢结构防火涂料（其中非膨胀型水性钢结构防火涂料1500吨/年、膨胀型水性钢结构防火涂料1000吨/年），</w:t>
            </w:r>
            <w:r>
              <w:rPr>
                <w:rFonts w:hint="default" w:ascii="Times New Roman" w:hAnsi="Times New Roman" w:cs="Times New Roman" w:eastAsiaTheme="minorEastAsia"/>
                <w:color w:val="auto"/>
                <w:sz w:val="24"/>
                <w:szCs w:val="24"/>
                <w:highlight w:val="none"/>
                <w:lang w:val="en-US" w:eastAsia="zh-CN"/>
              </w:rPr>
              <w:t>项目占地约</w:t>
            </w:r>
            <w:r>
              <w:rPr>
                <w:rFonts w:hint="eastAsia" w:ascii="Times New Roman" w:hAnsi="Times New Roman" w:cs="Times New Roman" w:eastAsiaTheme="minorEastAsia"/>
                <w:color w:val="auto"/>
                <w:sz w:val="24"/>
                <w:szCs w:val="24"/>
                <w:highlight w:val="none"/>
                <w:lang w:val="en-US" w:eastAsia="zh-CN"/>
              </w:rPr>
              <w:t>1725平方米；二期建设内容为年产2300吨水性钢结构防火涂料（其中非膨胀型水性钢结构防火涂料1500吨/年、膨胀型水性钢结构防火涂料800吨/年</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Cs/>
                <w:sz w:val="24"/>
                <w:szCs w:val="24"/>
                <w:lang w:eastAsia="zh-CN"/>
              </w:rPr>
              <w:t>。</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Cs/>
                <w:sz w:val="24"/>
                <w:szCs w:val="24"/>
                <w:lang w:val="en-US" w:eastAsia="zh-CN"/>
              </w:rPr>
              <w:t>20</w:t>
            </w:r>
            <w:r>
              <w:rPr>
                <w:rFonts w:hint="eastAsia" w:ascii="Times New Roman" w:hAnsi="Times New Roman" w:eastAsia="宋体" w:cs="Times New Roman"/>
                <w:bCs/>
                <w:sz w:val="24"/>
                <w:szCs w:val="24"/>
                <w:highlight w:val="none"/>
                <w:lang w:val="en-US" w:eastAsia="zh-CN"/>
              </w:rPr>
              <w:t>23</w:t>
            </w:r>
            <w:r>
              <w:rPr>
                <w:rFonts w:hint="default" w:ascii="Times New Roman" w:hAnsi="Times New Roman" w:eastAsia="宋体" w:cs="Times New Roman"/>
                <w:bCs/>
                <w:sz w:val="24"/>
                <w:szCs w:val="24"/>
                <w:highlight w:val="none"/>
                <w:lang w:val="en-US" w:eastAsia="zh-CN"/>
              </w:rPr>
              <w:t>年</w:t>
            </w:r>
            <w:r>
              <w:rPr>
                <w:rFonts w:hint="eastAsia" w:ascii="Times New Roman" w:hAnsi="Times New Roman" w:eastAsia="宋体" w:cs="Times New Roman"/>
                <w:bCs/>
                <w:sz w:val="24"/>
                <w:szCs w:val="24"/>
                <w:highlight w:val="none"/>
                <w:lang w:val="en-US" w:eastAsia="zh-CN"/>
              </w:rPr>
              <w:t>8</w:t>
            </w:r>
            <w:r>
              <w:rPr>
                <w:rFonts w:hint="default" w:ascii="Times New Roman" w:hAnsi="Times New Roman" w:eastAsia="宋体" w:cs="Times New Roman"/>
                <w:bCs/>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河南秋晟环境科技有限公司</w:t>
            </w:r>
            <w:r>
              <w:rPr>
                <w:rFonts w:hint="default" w:ascii="Times New Roman" w:hAnsi="Times New Roman" w:eastAsia="宋体" w:cs="Times New Roman"/>
                <w:color w:val="auto"/>
                <w:sz w:val="24"/>
                <w:szCs w:val="24"/>
                <w:highlight w:val="none"/>
                <w:lang w:val="en-US" w:eastAsia="zh-CN"/>
              </w:rPr>
              <w:t>编制完成了本项目的环境影响报告表，</w:t>
            </w:r>
            <w:r>
              <w:rPr>
                <w:rFonts w:hint="eastAsia" w:ascii="Times New Roman" w:hAnsi="Times New Roman" w:eastAsia="宋体" w:cs="Times New Roman"/>
                <w:color w:val="auto"/>
                <w:sz w:val="24"/>
                <w:szCs w:val="24"/>
                <w:highlight w:val="none"/>
                <w:lang w:val="en-US" w:eastAsia="zh-CN"/>
              </w:rPr>
              <w:t>2023</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日，获得</w:t>
            </w:r>
            <w:r>
              <w:rPr>
                <w:rFonts w:hint="eastAsia" w:ascii="Times New Roman" w:hAnsi="Times New Roman" w:eastAsia="宋体" w:cs="Times New Roman"/>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批复（长环审（</w:t>
            </w:r>
            <w:r>
              <w:rPr>
                <w:rFonts w:hint="eastAsia" w:ascii="Times New Roman" w:hAnsi="Times New Roman" w:eastAsia="宋体" w:cs="Times New Roman"/>
                <w:color w:val="auto"/>
                <w:sz w:val="24"/>
                <w:szCs w:val="24"/>
                <w:highlight w:val="none"/>
                <w:lang w:val="en-US" w:eastAsia="zh-CN"/>
              </w:rPr>
              <w:t>2023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val="en-US" w:eastAsia="zh-CN"/>
              </w:rPr>
              <w:t>号）。</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根据《建设项目竣工环境保护验收技术指南污染影响类》和《</w:t>
            </w:r>
            <w:bookmarkStart w:id="4" w:name="_GoBack"/>
            <w:bookmarkEnd w:id="4"/>
            <w:r>
              <w:rPr>
                <w:rFonts w:hint="default" w:ascii="Times New Roman" w:hAnsi="Times New Roman" w:eastAsia="宋体" w:cs="Times New Roman"/>
                <w:color w:val="auto"/>
                <w:sz w:val="24"/>
                <w:szCs w:val="24"/>
                <w:highlight w:val="none"/>
                <w:lang w:val="en-US" w:eastAsia="zh-CN"/>
              </w:rPr>
              <w:t>建设项目竣工环境保护验收暂行办法</w:t>
            </w:r>
            <w:r>
              <w:rPr>
                <w:rFonts w:hint="default" w:ascii="Times New Roman" w:hAnsi="Times New Roman" w:eastAsia="宋体" w:cs="Times New Roman"/>
                <w:color w:val="auto"/>
                <w:sz w:val="24"/>
                <w:szCs w:val="24"/>
                <w:lang w:val="en-US" w:eastAsia="zh-CN"/>
              </w:rPr>
              <w:t>》，</w:t>
            </w:r>
            <w:r>
              <w:rPr>
                <w:rFonts w:hint="eastAsia" w:eastAsia="宋体"/>
                <w:color w:val="auto"/>
                <w:sz w:val="24"/>
                <w:szCs w:val="24"/>
                <w:lang w:eastAsia="zh-CN"/>
              </w:rPr>
              <w:t>我</w:t>
            </w:r>
            <w:r>
              <w:rPr>
                <w:rFonts w:hint="default" w:ascii="Times New Roman" w:hAnsi="Times New Roman" w:eastAsia="宋体" w:cs="Times New Roman"/>
                <w:color w:val="auto"/>
                <w:sz w:val="24"/>
                <w:szCs w:val="24"/>
                <w:lang w:val="en-US" w:eastAsia="zh-CN"/>
              </w:rPr>
              <w:t>公司</w:t>
            </w:r>
            <w:r>
              <w:rPr>
                <w:rFonts w:hint="eastAsia" w:ascii="Times New Roman" w:hAnsi="Times New Roman" w:eastAsia="宋体" w:cs="Times New Roman"/>
                <w:color w:val="auto"/>
                <w:sz w:val="24"/>
                <w:szCs w:val="24"/>
                <w:lang w:val="en-US" w:eastAsia="zh-CN"/>
              </w:rPr>
              <w:t>编制了</w:t>
            </w:r>
            <w:r>
              <w:rPr>
                <w:rFonts w:hint="default" w:ascii="Times New Roman" w:hAnsi="Times New Roman" w:eastAsia="宋体" w:cs="Times New Roman"/>
                <w:color w:val="auto"/>
                <w:sz w:val="24"/>
                <w:szCs w:val="24"/>
                <w:lang w:val="en-US" w:eastAsia="zh-CN"/>
              </w:rPr>
              <w:t>该项目的竣工环境保护验收监测工作</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按照国家有关规范要求，编制完成本项目的验收报告。</w:t>
            </w:r>
          </w:p>
          <w:p>
            <w:pPr>
              <w:keepNext w:val="0"/>
              <w:keepLines w:val="0"/>
              <w:pageBreakBefore w:val="0"/>
              <w:widowControl/>
              <w:kinsoku/>
              <w:wordWrap/>
              <w:overflowPunct/>
              <w:topLinePunct w:val="0"/>
              <w:autoSpaceDE/>
              <w:autoSpaceDN/>
              <w:bidi w:val="0"/>
              <w:adjustRightInd/>
              <w:snapToGrid/>
              <w:spacing w:after="0" w:afterLines="0" w:line="520" w:lineRule="exact"/>
              <w:jc w:val="both"/>
              <w:textAlignment w:val="auto"/>
              <w:outlineLvl w:val="9"/>
              <w:rPr>
                <w:rFonts w:hint="default" w:ascii="Times New Roman" w:hAnsi="Times New Roman" w:eastAsia="宋体" w:cs="Times New Roman"/>
                <w:color w:val="auto"/>
                <w:sz w:val="24"/>
                <w:szCs w:val="24"/>
                <w:lang w:val="en-US"/>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506" w:type="dxa"/>
            <w:gridSpan w:val="5"/>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eastAsia="宋体" w:cs="Times New Roman"/>
                <w:color w:val="auto"/>
                <w:sz w:val="24"/>
                <w:szCs w:val="24"/>
                <w:highlight w:val="none"/>
                <w:lang w:val="en-US" w:eastAsia="zh-CN"/>
              </w:rPr>
              <w:t>河南省洪杉新材料有限公司年产4800吨水性钢结构防火涂料项目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eastAsia="宋体" w:cs="Times New Roman"/>
                <w:color w:val="auto"/>
                <w:sz w:val="24"/>
                <w:szCs w:val="24"/>
                <w:highlight w:val="none"/>
                <w:lang w:val="en-US" w:eastAsia="zh-CN"/>
              </w:rPr>
              <w:t>河南秋晟环境科技有限公司</w:t>
            </w:r>
            <w:r>
              <w:rPr>
                <w:rFonts w:hint="default" w:ascii="Times New Roman" w:hAnsi="Times New Roman" w:eastAsia="宋体"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en-US" w:eastAsia="zh-CN"/>
              </w:rPr>
              <w:t>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（15）</w:t>
            </w:r>
            <w:r>
              <w:rPr>
                <w:rFonts w:hint="eastAsia" w:ascii="Times New Roman" w:hAnsi="Times New Roman" w:eastAsia="宋体" w:cs="Times New Roman"/>
                <w:color w:val="auto"/>
                <w:sz w:val="24"/>
                <w:szCs w:val="24"/>
                <w:highlight w:val="none"/>
                <w:lang w:val="en-US" w:eastAsia="zh-CN"/>
              </w:rPr>
              <w:t>新乡市生态环境局长垣分局</w:t>
            </w:r>
            <w:r>
              <w:rPr>
                <w:rFonts w:hint="default" w:ascii="Times New Roman" w:hAnsi="Times New Roman" w:eastAsia="宋体" w:cs="Times New Roman"/>
                <w:color w:val="auto"/>
                <w:sz w:val="24"/>
                <w:szCs w:val="24"/>
                <w:highlight w:val="none"/>
                <w:lang w:val="en-US" w:eastAsia="zh-CN"/>
              </w:rPr>
              <w:t>批复关于</w:t>
            </w:r>
            <w:r>
              <w:rPr>
                <w:rFonts w:hint="eastAsia" w:ascii="Times New Roman" w:hAnsi="Times New Roman" w:eastAsia="宋体" w:cs="Times New Roman"/>
                <w:color w:val="auto"/>
                <w:sz w:val="24"/>
                <w:szCs w:val="24"/>
                <w:highlight w:val="none"/>
                <w:lang w:val="en-US" w:eastAsia="zh-CN"/>
              </w:rPr>
              <w:t>《河南省洪杉新材料有限公司年产4800吨水性钢结构防火涂料项目</w:t>
            </w:r>
            <w:r>
              <w:rPr>
                <w:rFonts w:hint="default" w:ascii="Times New Roman" w:hAnsi="Times New Roman" w:eastAsia="宋体" w:cs="Times New Roman"/>
                <w:color w:val="auto"/>
                <w:sz w:val="24"/>
                <w:szCs w:val="24"/>
                <w:highlight w:val="none"/>
                <w:lang w:val="en-US" w:eastAsia="zh-CN"/>
              </w:rPr>
              <w:t>环境影响报告表》的批复（长环审（</w:t>
            </w:r>
            <w:r>
              <w:rPr>
                <w:rFonts w:hint="eastAsia" w:ascii="Times New Roman" w:hAnsi="Times New Roman" w:eastAsia="宋体" w:cs="Times New Roman"/>
                <w:color w:val="auto"/>
                <w:sz w:val="24"/>
                <w:szCs w:val="24"/>
                <w:highlight w:val="none"/>
                <w:lang w:val="en-US" w:eastAsia="zh-CN"/>
              </w:rPr>
              <w:t>2023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50</w:t>
            </w:r>
            <w:r>
              <w:rPr>
                <w:rFonts w:hint="default" w:ascii="Times New Roman" w:hAnsi="Times New Roman" w:eastAsia="宋体" w:cs="Times New Roman"/>
                <w:color w:val="auto"/>
                <w:sz w:val="24"/>
                <w:szCs w:val="24"/>
                <w:highlight w:val="none"/>
                <w:lang w:val="en-US" w:eastAsia="zh-CN"/>
              </w:rPr>
              <w:t>号</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1751" w:type="dxa"/>
            <w:vAlign w:val="center"/>
          </w:tcPr>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506" w:type="dxa"/>
            <w:gridSpan w:val="5"/>
            <w:vAlign w:val="center"/>
          </w:tcPr>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kern w:val="0"/>
                <w:sz w:val="24"/>
                <w:szCs w:val="24"/>
                <w:lang w:eastAsia="zh-CN"/>
              </w:rPr>
            </w:pPr>
            <w:r>
              <w:rPr>
                <w:rFonts w:hint="default" w:ascii="Times New Roman" w:hAnsi="Times New Roman" w:eastAsia="宋体" w:cs="Times New Roman"/>
                <w:b/>
                <w:bCs/>
                <w:kern w:val="0"/>
                <w:sz w:val="24"/>
                <w:szCs w:val="24"/>
                <w:lang w:eastAsia="zh-CN"/>
              </w:rPr>
              <w:t>表</w:t>
            </w:r>
            <w:r>
              <w:rPr>
                <w:rFonts w:hint="eastAsia" w:ascii="Times New Roman" w:hAnsi="Times New Roman" w:eastAsia="宋体" w:cs="Times New Roman"/>
                <w:b/>
                <w:bCs/>
                <w:kern w:val="0"/>
                <w:sz w:val="24"/>
                <w:szCs w:val="24"/>
                <w:lang w:val="en-US" w:eastAsia="zh-CN"/>
              </w:rPr>
              <w:t>1</w:t>
            </w:r>
            <w:r>
              <w:rPr>
                <w:rFonts w:hint="default" w:ascii="Times New Roman" w:hAnsi="Times New Roman" w:eastAsia="宋体" w:cs="Times New Roman"/>
                <w:b/>
                <w:bCs/>
                <w:kern w:val="0"/>
                <w:sz w:val="24"/>
                <w:szCs w:val="24"/>
                <w:lang w:val="en-US" w:eastAsia="zh-CN"/>
              </w:rPr>
              <w:t xml:space="preserve">    污染物</w:t>
            </w:r>
            <w:r>
              <w:rPr>
                <w:rFonts w:hint="default" w:ascii="Times New Roman" w:hAnsi="Times New Roman" w:eastAsia="宋体" w:cs="Times New Roman"/>
                <w:b/>
                <w:bCs/>
                <w:kern w:val="0"/>
                <w:sz w:val="24"/>
                <w:szCs w:val="24"/>
              </w:rPr>
              <w:t>排放控制标准</w:t>
            </w:r>
            <w:r>
              <w:rPr>
                <w:rFonts w:hint="default" w:ascii="Times New Roman" w:hAnsi="Times New Roman" w:eastAsia="宋体" w:cs="Times New Roman"/>
                <w:b/>
                <w:bCs/>
                <w:kern w:val="0"/>
                <w:sz w:val="24"/>
                <w:szCs w:val="24"/>
                <w:lang w:eastAsia="zh-CN"/>
              </w:rPr>
              <w:t>一览表</w:t>
            </w:r>
          </w:p>
          <w:tbl>
            <w:tblPr>
              <w:tblStyle w:val="18"/>
              <w:tblW w:w="7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921"/>
              <w:gridCol w:w="1586"/>
              <w:gridCol w:w="1092"/>
              <w:gridCol w:w="919"/>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restart"/>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环境</w:t>
                  </w:r>
                </w:p>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要素</w:t>
                  </w:r>
                </w:p>
              </w:tc>
              <w:tc>
                <w:tcPr>
                  <w:tcW w:w="921" w:type="dxa"/>
                  <w:vMerge w:val="restart"/>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标准编号</w:t>
                  </w:r>
                </w:p>
              </w:tc>
              <w:tc>
                <w:tcPr>
                  <w:tcW w:w="1586" w:type="dxa"/>
                  <w:vMerge w:val="restart"/>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标准名称</w:t>
                  </w:r>
                </w:p>
              </w:tc>
              <w:tc>
                <w:tcPr>
                  <w:tcW w:w="1092" w:type="dxa"/>
                  <w:vMerge w:val="restart"/>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执行级别</w:t>
                  </w:r>
                </w:p>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（类别）</w:t>
                  </w:r>
                </w:p>
              </w:tc>
              <w:tc>
                <w:tcPr>
                  <w:tcW w:w="3050" w:type="dxa"/>
                  <w:gridSpan w:val="2"/>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主要标准要求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continue"/>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21"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586"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092" w:type="dxa"/>
                  <w:vMerge w:val="continue"/>
                  <w:noWrap w:val="0"/>
                  <w:vAlign w:val="center"/>
                </w:tcPr>
                <w:p>
                  <w:pPr>
                    <w:pStyle w:val="6"/>
                    <w:keepNext w:val="0"/>
                    <w:keepLines w:val="0"/>
                    <w:pageBreakBefore w:val="0"/>
                    <w:widowControl/>
                    <w:kinsoku/>
                    <w:wordWrap/>
                    <w:overflowPunct/>
                    <w:topLinePunct w:val="0"/>
                    <w:bidi w:val="0"/>
                    <w:spacing w:after="0" w:afterLines="0"/>
                    <w:ind w:left="0" w:leftChars="0" w:right="0" w:rightChars="0"/>
                    <w:textAlignment w:val="auto"/>
                    <w:rPr>
                      <w:rFonts w:hint="default" w:ascii="Times New Roman" w:hAnsi="Times New Roman" w:cs="Times New Roman" w:eastAsiaTheme="minorEastAsia"/>
                      <w:color w:val="auto"/>
                      <w:sz w:val="21"/>
                      <w:szCs w:val="21"/>
                    </w:rPr>
                  </w:pPr>
                </w:p>
              </w:tc>
              <w:tc>
                <w:tcPr>
                  <w:tcW w:w="919" w:type="dxa"/>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参数</w:t>
                  </w:r>
                </w:p>
              </w:tc>
              <w:tc>
                <w:tcPr>
                  <w:tcW w:w="2131" w:type="dxa"/>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restart"/>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w:t>
                  </w:r>
                </w:p>
              </w:tc>
              <w:tc>
                <w:tcPr>
                  <w:tcW w:w="921" w:type="dxa"/>
                  <w:noWrap w:val="0"/>
                  <w:vAlign w:val="center"/>
                </w:tcPr>
                <w:p>
                  <w:pPr>
                    <w:keepNext w:val="0"/>
                    <w:keepLines w:val="0"/>
                    <w:pageBreakBefore w:val="0"/>
                    <w:widowControl/>
                    <w:kinsoku/>
                    <w:wordWrap/>
                    <w:overflowPunct/>
                    <w:topLinePunct w:val="0"/>
                    <w:bidi w:val="0"/>
                    <w:spacing w:after="0" w:afterLines="0"/>
                    <w:ind w:left="0" w:leftChars="0" w:right="0" w:right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GB37824-2019</w:t>
                  </w:r>
                </w:p>
              </w:tc>
              <w:tc>
                <w:tcPr>
                  <w:tcW w:w="1586" w:type="dxa"/>
                  <w:noWrap w:val="0"/>
                  <w:vAlign w:val="center"/>
                </w:tcPr>
                <w:p>
                  <w:pPr>
                    <w:keepNext w:val="0"/>
                    <w:keepLines w:val="0"/>
                    <w:pageBreakBefore w:val="0"/>
                    <w:widowControl/>
                    <w:kinsoku/>
                    <w:wordWrap/>
                    <w:overflowPunct/>
                    <w:topLinePunct w:val="0"/>
                    <w:bidi w:val="0"/>
                    <w:spacing w:after="0" w:afterLines="0"/>
                    <w:ind w:left="0" w:leftChars="0" w:right="0" w:right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涂料、油墨及胶粘剂工业大气污染物排放标准</w:t>
                  </w:r>
                </w:p>
              </w:tc>
              <w:tc>
                <w:tcPr>
                  <w:tcW w:w="1092" w:type="dxa"/>
                  <w:noWrap w:val="0"/>
                  <w:vAlign w:val="center"/>
                </w:tcPr>
                <w:p>
                  <w:pPr>
                    <w:keepNext w:val="0"/>
                    <w:keepLines w:val="0"/>
                    <w:pageBreakBefore w:val="0"/>
                    <w:widowControl/>
                    <w:kinsoku/>
                    <w:wordWrap/>
                    <w:overflowPunct/>
                    <w:topLinePunct w:val="0"/>
                    <w:bidi w:val="0"/>
                    <w:spacing w:after="0" w:afterLines="0"/>
                    <w:ind w:left="0" w:leftChars="0" w:right="0" w:right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表2</w:t>
                  </w:r>
                </w:p>
              </w:tc>
              <w:tc>
                <w:tcPr>
                  <w:tcW w:w="919" w:type="dxa"/>
                  <w:tcBorders>
                    <w:bottom w:val="single" w:color="000000" w:sz="4" w:space="0"/>
                  </w:tcBorders>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颗粒物</w:t>
                  </w:r>
                </w:p>
              </w:tc>
              <w:tc>
                <w:tcPr>
                  <w:tcW w:w="2131" w:type="dxa"/>
                  <w:tcBorders>
                    <w:bottom w:val="single" w:color="000000" w:sz="4" w:space="0"/>
                  </w:tcBorders>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有组织：20mg/m</w:t>
                  </w:r>
                  <w:r>
                    <w:rPr>
                      <w:rFonts w:hint="default" w:ascii="Times New Roman" w:hAnsi="Times New Roman" w:cs="Times New Roman" w:eastAsiaTheme="minorEastAsia"/>
                      <w:bCs/>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continue"/>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3599" w:type="dxa"/>
                  <w:gridSpan w:val="3"/>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《重污染天气重点行业应急减排措施制定技术指南》（2020年修订版）- 涂料制造企业绩效分级A级要求</w:t>
                  </w:r>
                </w:p>
              </w:tc>
              <w:tc>
                <w:tcPr>
                  <w:tcW w:w="919" w:type="dxa"/>
                  <w:tcBorders>
                    <w:bottom w:val="single" w:color="000000" w:sz="4" w:space="0"/>
                  </w:tcBorders>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颗粒物</w:t>
                  </w:r>
                </w:p>
              </w:tc>
              <w:tc>
                <w:tcPr>
                  <w:tcW w:w="2131" w:type="dxa"/>
                  <w:tcBorders>
                    <w:bottom w:val="single" w:color="000000" w:sz="4" w:space="0"/>
                  </w:tcBorders>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有组织：10mg/m</w:t>
                  </w:r>
                  <w:r>
                    <w:rPr>
                      <w:rFonts w:hint="default" w:ascii="Times New Roman" w:hAnsi="Times New Roman" w:cs="Times New Roman" w:eastAsiaTheme="minorEastAsia"/>
                      <w:bCs/>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continue"/>
                  <w:tcBorders>
                    <w:bottom w:val="single" w:color="000000" w:sz="4" w:space="0"/>
                  </w:tcBorders>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3599" w:type="dxa"/>
                  <w:gridSpan w:val="3"/>
                  <w:tcBorders>
                    <w:bottom w:val="single" w:color="000000" w:sz="4" w:space="0"/>
                  </w:tcBorders>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新乡市生态环境局关于进一步规范工业企业颗粒物排放限值的通知</w:t>
                  </w:r>
                </w:p>
              </w:tc>
              <w:tc>
                <w:tcPr>
                  <w:tcW w:w="919" w:type="dxa"/>
                  <w:tcBorders>
                    <w:bottom w:val="single" w:color="000000" w:sz="4" w:space="0"/>
                  </w:tcBorders>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t>颗粒物</w:t>
                  </w:r>
                </w:p>
              </w:tc>
              <w:tc>
                <w:tcPr>
                  <w:tcW w:w="2131" w:type="dxa"/>
                  <w:tcBorders>
                    <w:bottom w:val="single" w:color="000000" w:sz="4" w:space="0"/>
                  </w:tcBorders>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有组织：10mg/m</w:t>
                  </w:r>
                  <w:r>
                    <w:rPr>
                      <w:rFonts w:hint="default" w:ascii="Times New Roman" w:hAnsi="Times New Roman" w:cs="Times New Roman" w:eastAsiaTheme="minorEastAsia"/>
                      <w:color w:val="auto"/>
                      <w:sz w:val="21"/>
                      <w:szCs w:val="21"/>
                      <w:vertAlign w:val="superscript"/>
                    </w:rPr>
                    <w:t>3</w:t>
                  </w:r>
                </w:p>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无组织：0.5mg/m</w:t>
                  </w:r>
                  <w:r>
                    <w:rPr>
                      <w:rFonts w:hint="default" w:ascii="Times New Roman" w:hAnsi="Times New Roman" w:cs="Times New Roman" w:eastAsiaTheme="minorEastAsia"/>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restart"/>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 xml:space="preserve"> 废水</w:t>
                  </w:r>
                </w:p>
              </w:tc>
              <w:tc>
                <w:tcPr>
                  <w:tcW w:w="921" w:type="dxa"/>
                  <w:vMerge w:val="restart"/>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GB8978-1996</w:t>
                  </w:r>
                </w:p>
              </w:tc>
              <w:tc>
                <w:tcPr>
                  <w:tcW w:w="1586" w:type="dxa"/>
                  <w:vMerge w:val="restart"/>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《污水综合排放标准》</w:t>
                  </w:r>
                </w:p>
              </w:tc>
              <w:tc>
                <w:tcPr>
                  <w:tcW w:w="1092" w:type="dxa"/>
                  <w:vMerge w:val="restart"/>
                  <w:noWrap w:val="0"/>
                  <w:vAlign w:val="center"/>
                </w:tcPr>
                <w:p>
                  <w:pPr>
                    <w:pStyle w:val="6"/>
                    <w:keepNext w:val="0"/>
                    <w:keepLines w:val="0"/>
                    <w:pageBreakBefore w:val="0"/>
                    <w:widowControl/>
                    <w:kinsoku/>
                    <w:wordWrap/>
                    <w:overflowPunct/>
                    <w:topLinePunct w:val="0"/>
                    <w:bidi w:val="0"/>
                    <w:spacing w:after="0" w:afterLines="0"/>
                    <w:ind w:left="0" w:leftChars="0" w:right="0" w:right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表2三级标准</w:t>
                  </w:r>
                </w:p>
              </w:tc>
              <w:tc>
                <w:tcPr>
                  <w:tcW w:w="919" w:type="dxa"/>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COD</w:t>
                  </w:r>
                </w:p>
              </w:tc>
              <w:tc>
                <w:tcPr>
                  <w:tcW w:w="2131" w:type="dxa"/>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continue"/>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21"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586"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092"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19" w:type="dxa"/>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NH</w:t>
                  </w:r>
                  <w:r>
                    <w:rPr>
                      <w:rFonts w:hint="default" w:ascii="Times New Roman" w:hAnsi="Times New Roman" w:cs="Times New Roman" w:eastAsiaTheme="minorEastAsia"/>
                      <w:color w:val="auto"/>
                      <w:kern w:val="0"/>
                      <w:sz w:val="21"/>
                      <w:szCs w:val="21"/>
                      <w:vertAlign w:val="subscript"/>
                    </w:rPr>
                    <w:t>3</w:t>
                  </w:r>
                  <w:r>
                    <w:rPr>
                      <w:rFonts w:hint="default" w:ascii="Times New Roman" w:hAnsi="Times New Roman" w:cs="Times New Roman" w:eastAsiaTheme="minorEastAsia"/>
                      <w:color w:val="auto"/>
                      <w:kern w:val="0"/>
                      <w:sz w:val="21"/>
                      <w:szCs w:val="21"/>
                    </w:rPr>
                    <w:t>-N</w:t>
                  </w:r>
                </w:p>
              </w:tc>
              <w:tc>
                <w:tcPr>
                  <w:tcW w:w="2131" w:type="dxa"/>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continue"/>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21"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586"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092"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19" w:type="dxa"/>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BOD</w:t>
                  </w:r>
                  <w:r>
                    <w:rPr>
                      <w:rFonts w:hint="default" w:ascii="Times New Roman" w:hAnsi="Times New Roman" w:cs="Times New Roman" w:eastAsiaTheme="minorEastAsia"/>
                      <w:color w:val="auto"/>
                      <w:kern w:val="0"/>
                      <w:sz w:val="21"/>
                      <w:szCs w:val="21"/>
                      <w:vertAlign w:val="subscript"/>
                    </w:rPr>
                    <w:t>5</w:t>
                  </w:r>
                </w:p>
              </w:tc>
              <w:tc>
                <w:tcPr>
                  <w:tcW w:w="2131" w:type="dxa"/>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continue"/>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21"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586"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092"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19" w:type="dxa"/>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SS</w:t>
                  </w:r>
                </w:p>
              </w:tc>
              <w:tc>
                <w:tcPr>
                  <w:tcW w:w="2131" w:type="dxa"/>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400mg/L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continue"/>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21"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586"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092"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19" w:type="dxa"/>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总氮</w:t>
                  </w:r>
                </w:p>
              </w:tc>
              <w:tc>
                <w:tcPr>
                  <w:tcW w:w="2131" w:type="dxa"/>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continue"/>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21"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586"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092"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19" w:type="dxa"/>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总磷</w:t>
                  </w:r>
                </w:p>
              </w:tc>
              <w:tc>
                <w:tcPr>
                  <w:tcW w:w="2131" w:type="dxa"/>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89" w:type="dxa"/>
                  <w:vMerge w:val="continue"/>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21" w:type="dxa"/>
                  <w:vMerge w:val="restart"/>
                  <w:noWrap w:val="0"/>
                  <w:vAlign w:val="center"/>
                </w:tcPr>
                <w:p>
                  <w:pPr>
                    <w:pStyle w:val="2"/>
                    <w:keepNext w:val="0"/>
                    <w:keepLines w:val="0"/>
                    <w:pageBreakBefore w:val="0"/>
                    <w:widowControl/>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vertAlign w:val="baseline"/>
                      <w:lang w:val="en-US" w:eastAsia="zh-CN"/>
                    </w:rPr>
                    <w:t>DB41/2087-2021</w:t>
                  </w:r>
                </w:p>
              </w:tc>
              <w:tc>
                <w:tcPr>
                  <w:tcW w:w="1586" w:type="dxa"/>
                  <w:vMerge w:val="restart"/>
                  <w:noWrap w:val="0"/>
                  <w:vAlign w:val="center"/>
                </w:tcPr>
                <w:p>
                  <w:pPr>
                    <w:pStyle w:val="2"/>
                    <w:keepNext w:val="0"/>
                    <w:keepLines w:val="0"/>
                    <w:pageBreakBefore w:val="0"/>
                    <w:widowControl/>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vertAlign w:val="baseline"/>
                      <w:lang w:eastAsia="zh-CN"/>
                    </w:rPr>
                    <w:t>《</w:t>
                  </w:r>
                  <w:r>
                    <w:rPr>
                      <w:rFonts w:hint="default" w:ascii="Times New Roman" w:hAnsi="Times New Roman" w:cs="Times New Roman" w:eastAsiaTheme="minorEastAsia"/>
                      <w:color w:val="auto"/>
                      <w:sz w:val="21"/>
                      <w:szCs w:val="21"/>
                      <w:vertAlign w:val="baseline"/>
                      <w:lang w:val="en-US" w:eastAsia="zh-CN"/>
                    </w:rPr>
                    <w:t>河南省黄河流域水污染物排放标准》</w:t>
                  </w:r>
                </w:p>
              </w:tc>
              <w:tc>
                <w:tcPr>
                  <w:tcW w:w="1092" w:type="dxa"/>
                  <w:vMerge w:val="restart"/>
                  <w:noWrap w:val="0"/>
                  <w:vAlign w:val="center"/>
                </w:tcPr>
                <w:p>
                  <w:pPr>
                    <w:pStyle w:val="2"/>
                    <w:keepNext w:val="0"/>
                    <w:keepLines w:val="0"/>
                    <w:pageBreakBefore w:val="0"/>
                    <w:widowControl/>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vertAlign w:val="baseline"/>
                      <w:lang w:val="en-US" w:eastAsia="zh-CN"/>
                    </w:rPr>
                    <w:t>表1，一级标准</w:t>
                  </w:r>
                </w:p>
              </w:tc>
              <w:tc>
                <w:tcPr>
                  <w:tcW w:w="919" w:type="dxa"/>
                  <w:noWrap w:val="0"/>
                  <w:vAlign w:val="center"/>
                </w:tcPr>
                <w:p>
                  <w:pPr>
                    <w:pStyle w:val="2"/>
                    <w:keepNext w:val="0"/>
                    <w:keepLines w:val="0"/>
                    <w:pageBreakBefore w:val="0"/>
                    <w:widowControl/>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vertAlign w:val="baseline"/>
                      <w:lang w:val="en-US" w:eastAsia="zh-CN"/>
                    </w:rPr>
                    <w:t>COD</w:t>
                  </w:r>
                </w:p>
              </w:tc>
              <w:tc>
                <w:tcPr>
                  <w:tcW w:w="2131" w:type="dxa"/>
                  <w:noWrap w:val="0"/>
                  <w:vAlign w:val="center"/>
                </w:tcPr>
                <w:p>
                  <w:pPr>
                    <w:pStyle w:val="2"/>
                    <w:keepNext w:val="0"/>
                    <w:keepLines w:val="0"/>
                    <w:pageBreakBefore w:val="0"/>
                    <w:widowControl/>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vertAlign w:val="baseline"/>
                      <w:lang w:val="en-US" w:eastAsia="zh-CN"/>
                    </w:rPr>
                    <w:t>40mg/L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continue"/>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21"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586"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092"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19" w:type="dxa"/>
                  <w:noWrap w:val="0"/>
                  <w:vAlign w:val="center"/>
                </w:tcPr>
                <w:p>
                  <w:pPr>
                    <w:pStyle w:val="2"/>
                    <w:keepNext w:val="0"/>
                    <w:keepLines w:val="0"/>
                    <w:pageBreakBefore w:val="0"/>
                    <w:widowControl/>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vertAlign w:val="baseline"/>
                      <w:lang w:val="en-US" w:eastAsia="zh-CN"/>
                    </w:rPr>
                    <w:t>BOD</w:t>
                  </w:r>
                  <w:r>
                    <w:rPr>
                      <w:rFonts w:hint="default" w:ascii="Times New Roman" w:hAnsi="Times New Roman" w:cs="Times New Roman" w:eastAsiaTheme="minorEastAsia"/>
                      <w:color w:val="auto"/>
                      <w:sz w:val="21"/>
                      <w:szCs w:val="21"/>
                      <w:vertAlign w:val="subscript"/>
                      <w:lang w:val="en-US" w:eastAsia="zh-CN"/>
                    </w:rPr>
                    <w:t>5</w:t>
                  </w:r>
                </w:p>
              </w:tc>
              <w:tc>
                <w:tcPr>
                  <w:tcW w:w="2131" w:type="dxa"/>
                  <w:noWrap w:val="0"/>
                  <w:vAlign w:val="center"/>
                </w:tcPr>
                <w:p>
                  <w:pPr>
                    <w:keepNext w:val="0"/>
                    <w:keepLines w:val="0"/>
                    <w:pageBreakBefore w:val="0"/>
                    <w:widowControl/>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vertAlign w:val="baseline"/>
                      <w:lang w:val="en-US" w:eastAsia="zh-CN"/>
                    </w:rPr>
                    <w:t>6mg/L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continue"/>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21"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586"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092"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19" w:type="dxa"/>
                  <w:noWrap w:val="0"/>
                  <w:vAlign w:val="center"/>
                </w:tcPr>
                <w:p>
                  <w:pPr>
                    <w:pStyle w:val="2"/>
                    <w:keepNext w:val="0"/>
                    <w:keepLines w:val="0"/>
                    <w:pageBreakBefore w:val="0"/>
                    <w:widowControl/>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vertAlign w:val="baseline"/>
                      <w:lang w:val="en-US" w:eastAsia="zh-CN"/>
                    </w:rPr>
                    <w:t>SS</w:t>
                  </w:r>
                </w:p>
              </w:tc>
              <w:tc>
                <w:tcPr>
                  <w:tcW w:w="2131" w:type="dxa"/>
                  <w:noWrap w:val="0"/>
                  <w:vAlign w:val="center"/>
                </w:tcPr>
                <w:p>
                  <w:pPr>
                    <w:keepNext w:val="0"/>
                    <w:keepLines w:val="0"/>
                    <w:pageBreakBefore w:val="0"/>
                    <w:widowControl/>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vertAlign w:val="baseline"/>
                      <w:lang w:val="en-US" w:eastAsia="zh-CN"/>
                    </w:rPr>
                    <w:t>10mg/L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continue"/>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21"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586"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092"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19" w:type="dxa"/>
                  <w:noWrap w:val="0"/>
                  <w:vAlign w:val="center"/>
                </w:tcPr>
                <w:p>
                  <w:pPr>
                    <w:pStyle w:val="2"/>
                    <w:keepNext w:val="0"/>
                    <w:keepLines w:val="0"/>
                    <w:pageBreakBefore w:val="0"/>
                    <w:widowControl/>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vertAlign w:val="baseline"/>
                      <w:lang w:val="en-US" w:eastAsia="zh-CN"/>
                    </w:rPr>
                    <w:t>NH</w:t>
                  </w:r>
                  <w:r>
                    <w:rPr>
                      <w:rFonts w:hint="default" w:ascii="Times New Roman" w:hAnsi="Times New Roman" w:cs="Times New Roman" w:eastAsiaTheme="minorEastAsia"/>
                      <w:color w:val="auto"/>
                      <w:sz w:val="21"/>
                      <w:szCs w:val="21"/>
                      <w:vertAlign w:val="subscript"/>
                      <w:lang w:val="en-US" w:eastAsia="zh-CN"/>
                    </w:rPr>
                    <w:t>3</w:t>
                  </w:r>
                  <w:r>
                    <w:rPr>
                      <w:rFonts w:hint="default" w:ascii="Times New Roman" w:hAnsi="Times New Roman" w:cs="Times New Roman" w:eastAsiaTheme="minorEastAsia"/>
                      <w:color w:val="auto"/>
                      <w:sz w:val="21"/>
                      <w:szCs w:val="21"/>
                      <w:vertAlign w:val="baseline"/>
                      <w:lang w:val="en-US" w:eastAsia="zh-CN"/>
                    </w:rPr>
                    <w:t>-N</w:t>
                  </w:r>
                </w:p>
              </w:tc>
              <w:tc>
                <w:tcPr>
                  <w:tcW w:w="2131" w:type="dxa"/>
                  <w:noWrap w:val="0"/>
                  <w:vAlign w:val="center"/>
                </w:tcPr>
                <w:p>
                  <w:pPr>
                    <w:keepNext w:val="0"/>
                    <w:keepLines w:val="0"/>
                    <w:pageBreakBefore w:val="0"/>
                    <w:widowControl/>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vertAlign w:val="baseline"/>
                      <w:lang w:val="en-US" w:eastAsia="zh-CN"/>
                    </w:rPr>
                    <w:t>3mg/L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continue"/>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21"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586"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092"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19" w:type="dxa"/>
                  <w:noWrap w:val="0"/>
                  <w:vAlign w:val="center"/>
                </w:tcPr>
                <w:p>
                  <w:pPr>
                    <w:pStyle w:val="2"/>
                    <w:keepNext w:val="0"/>
                    <w:keepLines w:val="0"/>
                    <w:pageBreakBefore w:val="0"/>
                    <w:widowControl/>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vertAlign w:val="baseline"/>
                      <w:lang w:val="en-US" w:eastAsia="zh-CN"/>
                    </w:rPr>
                    <w:t>总氮</w:t>
                  </w:r>
                </w:p>
              </w:tc>
              <w:tc>
                <w:tcPr>
                  <w:tcW w:w="2131" w:type="dxa"/>
                  <w:noWrap w:val="0"/>
                  <w:vAlign w:val="center"/>
                </w:tcPr>
                <w:p>
                  <w:pPr>
                    <w:keepNext w:val="0"/>
                    <w:keepLines w:val="0"/>
                    <w:pageBreakBefore w:val="0"/>
                    <w:widowControl/>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vertAlign w:val="baseline"/>
                      <w:lang w:val="en-US" w:eastAsia="zh-CN"/>
                    </w:rPr>
                    <w:t>12mg/L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continue"/>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21"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586"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1092" w:type="dxa"/>
                  <w:vMerge w:val="continue"/>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919" w:type="dxa"/>
                  <w:noWrap w:val="0"/>
                  <w:vAlign w:val="center"/>
                </w:tcPr>
                <w:p>
                  <w:pPr>
                    <w:pStyle w:val="2"/>
                    <w:keepNext w:val="0"/>
                    <w:keepLines w:val="0"/>
                    <w:pageBreakBefore w:val="0"/>
                    <w:widowControl/>
                    <w:kinsoku/>
                    <w:wordWrap/>
                    <w:overflowPunct/>
                    <w:topLinePunct w:val="0"/>
                    <w:bidi w:val="0"/>
                    <w:adjustRightInd/>
                    <w:snapToGrid/>
                    <w:spacing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vertAlign w:val="baseline"/>
                      <w:lang w:val="en-US" w:eastAsia="zh-CN"/>
                    </w:rPr>
                    <w:t>总磷</w:t>
                  </w:r>
                </w:p>
              </w:tc>
              <w:tc>
                <w:tcPr>
                  <w:tcW w:w="2131" w:type="dxa"/>
                  <w:noWrap w:val="0"/>
                  <w:vAlign w:val="center"/>
                </w:tcPr>
                <w:p>
                  <w:pPr>
                    <w:keepNext w:val="0"/>
                    <w:keepLines w:val="0"/>
                    <w:pageBreakBefore w:val="0"/>
                    <w:widowControl/>
                    <w:kinsoku/>
                    <w:wordWrap/>
                    <w:overflowPunct/>
                    <w:topLinePunct w:val="0"/>
                    <w:bidi w:val="0"/>
                    <w:adjustRightInd/>
                    <w:snapToGrid/>
                    <w:spacing w:after="0" w:afterLines="0" w:line="240" w:lineRule="auto"/>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vertAlign w:val="baseline"/>
                      <w:lang w:val="en-US" w:eastAsia="zh-CN"/>
                    </w:rPr>
                    <w:t>0.4mg/L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vMerge w:val="continue"/>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p>
              </w:tc>
              <w:tc>
                <w:tcPr>
                  <w:tcW w:w="6649" w:type="dxa"/>
                  <w:gridSpan w:val="5"/>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长垣市第一污水处理厂收水标准：（COD≤300mg/L，NH</w:t>
                  </w:r>
                  <w:r>
                    <w:rPr>
                      <w:rFonts w:hint="default" w:ascii="Times New Roman" w:hAnsi="Times New Roman" w:cs="Times New Roman" w:eastAsiaTheme="minorEastAsia"/>
                      <w:color w:val="auto"/>
                      <w:sz w:val="21"/>
                      <w:szCs w:val="21"/>
                      <w:vertAlign w:val="subscript"/>
                    </w:rPr>
                    <w:t>3</w:t>
                  </w:r>
                  <w:r>
                    <w:rPr>
                      <w:rFonts w:hint="default" w:ascii="Times New Roman" w:hAnsi="Times New Roman" w:cs="Times New Roman" w:eastAsiaTheme="minorEastAsia"/>
                      <w:color w:val="auto"/>
                      <w:sz w:val="21"/>
                      <w:szCs w:val="21"/>
                    </w:rPr>
                    <w:t>-N≤35 mg/L，BOD≤150 mg/L，SS≤200mg/L ，</w:t>
                  </w:r>
                  <w:r>
                    <w:rPr>
                      <w:rFonts w:hint="default" w:ascii="Times New Roman" w:hAnsi="Times New Roman" w:cs="Times New Roman" w:eastAsiaTheme="minorEastAsia"/>
                      <w:color w:val="auto"/>
                      <w:sz w:val="21"/>
                      <w:szCs w:val="21"/>
                      <w:lang w:val="zh-CN"/>
                    </w:rPr>
                    <w:t>总</w:t>
                  </w:r>
                  <w:r>
                    <w:rPr>
                      <w:rFonts w:hint="default" w:ascii="Times New Roman" w:hAnsi="Times New Roman" w:cs="Times New Roman" w:eastAsiaTheme="minorEastAsia"/>
                      <w:color w:val="auto"/>
                      <w:sz w:val="21"/>
                      <w:szCs w:val="21"/>
                    </w:rPr>
                    <w:t>磷≤3.5mg/L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89" w:type="dxa"/>
                  <w:noWrap w:val="0"/>
                  <w:vAlign w:val="center"/>
                </w:tcPr>
                <w:p>
                  <w:pPr>
                    <w:keepNext w:val="0"/>
                    <w:keepLines w:val="0"/>
                    <w:pageBreakBefore w:val="0"/>
                    <w:widowControl/>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噪声</w:t>
                  </w:r>
                </w:p>
              </w:tc>
              <w:tc>
                <w:tcPr>
                  <w:tcW w:w="921" w:type="dxa"/>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GB12348-</w:t>
                  </w:r>
                </w:p>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2008</w:t>
                  </w:r>
                </w:p>
              </w:tc>
              <w:tc>
                <w:tcPr>
                  <w:tcW w:w="1586" w:type="dxa"/>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《工业企业厂界环境噪声排放标准》</w:t>
                  </w:r>
                </w:p>
              </w:tc>
              <w:tc>
                <w:tcPr>
                  <w:tcW w:w="1092" w:type="dxa"/>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2类</w:t>
                  </w:r>
                </w:p>
              </w:tc>
              <w:tc>
                <w:tcPr>
                  <w:tcW w:w="919" w:type="dxa"/>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等效连续A声级</w:t>
                  </w:r>
                </w:p>
              </w:tc>
              <w:tc>
                <w:tcPr>
                  <w:tcW w:w="2131" w:type="dxa"/>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昼间≤60dB（A）</w:t>
                  </w:r>
                </w:p>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夜间≤50dB（A）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9" w:type="dxa"/>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一般固体废物</w:t>
                  </w:r>
                </w:p>
              </w:tc>
              <w:tc>
                <w:tcPr>
                  <w:tcW w:w="921" w:type="dxa"/>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GB18599</w:t>
                  </w:r>
                </w:p>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rPr>
                    <w:t>-2020</w:t>
                  </w:r>
                </w:p>
              </w:tc>
              <w:tc>
                <w:tcPr>
                  <w:tcW w:w="1586" w:type="dxa"/>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rPr>
                    <w:t>《一般工业固体废物贮存和填埋污染控制标准》</w:t>
                  </w:r>
                </w:p>
              </w:tc>
              <w:tc>
                <w:tcPr>
                  <w:tcW w:w="1092" w:type="dxa"/>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919" w:type="dxa"/>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2131" w:type="dxa"/>
                  <w:noWrap w:val="0"/>
                  <w:vAlign w:val="center"/>
                </w:tcPr>
                <w:p>
                  <w:pPr>
                    <w:keepNext w:val="0"/>
                    <w:keepLines w:val="0"/>
                    <w:pageBreakBefore w:val="0"/>
                    <w:widowControl/>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bl>
          <w:p>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8"/>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3"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本项目基本情况表</w:t>
            </w:r>
          </w:p>
          <w:tbl>
            <w:tblPr>
              <w:tblStyle w:val="18"/>
              <w:tblW w:w="90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85"/>
              <w:gridCol w:w="2309"/>
              <w:gridCol w:w="556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建设单位</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河南省洪杉新材料有限公司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年产4800吨水性钢结构防火涂料项目（一期）</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3</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4</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长垣市蒲北防腐蚀及新材料产业园鄱阳湖路与汝河路交叉口向北50米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5</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1725m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lang w:val="en-US" w:eastAsia="zh-CN"/>
                    </w:rPr>
                    <w:t>平方米</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6</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230</w:t>
                  </w:r>
                  <w:r>
                    <w:rPr>
                      <w:rFonts w:hint="default" w:ascii="Times New Roman" w:hAnsi="Times New Roman" w:cs="Times New Roman" w:eastAsiaTheme="minorEastAsia"/>
                      <w:sz w:val="21"/>
                      <w:szCs w:val="21"/>
                      <w:lang w:val="en-US" w:eastAsia="zh-CN"/>
                    </w:rPr>
                    <w:t>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4"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7</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新增6</w:t>
                  </w:r>
                  <w:r>
                    <w:rPr>
                      <w:rFonts w:hint="default" w:ascii="Times New Roman" w:hAnsi="Times New Roman" w:cs="Times New Roman" w:eastAsiaTheme="minorEastAsia"/>
                      <w:sz w:val="21"/>
                      <w:szCs w:val="21"/>
                      <w:lang w:val="en-US" w:eastAsia="zh-CN"/>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230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5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300</w:t>
                  </w:r>
                  <w:r>
                    <w:rPr>
                      <w:rFonts w:hint="default" w:ascii="Times New Roman" w:hAnsi="Times New Roman" w:cs="Times New Roman" w:eastAsiaTheme="minorEastAsia"/>
                      <w:sz w:val="21"/>
                      <w:szCs w:val="21"/>
                      <w:lang w:val="en-US" w:eastAsia="zh-CN"/>
                    </w:rPr>
                    <w:t>天</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3   本</w:t>
            </w:r>
            <w:r>
              <w:rPr>
                <w:rFonts w:hint="default" w:ascii="Times New Roman" w:hAnsi="Times New Roman" w:cs="Times New Roman" w:eastAsiaTheme="minorEastAsia"/>
                <w:b/>
                <w:bCs/>
                <w:color w:val="auto"/>
                <w:kern w:val="2"/>
                <w:sz w:val="24"/>
                <w:szCs w:val="24"/>
                <w:lang w:val="en-US" w:eastAsia="zh-CN" w:bidi="ar-SA"/>
              </w:rPr>
              <w:t>项目实际建设情况一览表</w:t>
            </w:r>
          </w:p>
          <w:tbl>
            <w:tblPr>
              <w:tblStyle w:val="18"/>
              <w:tblW w:w="904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6"/>
              <w:gridCol w:w="1073"/>
              <w:gridCol w:w="3250"/>
              <w:gridCol w:w="3073"/>
              <w:gridCol w:w="90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32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3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实际建设内容</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 w:hRule="atLeast"/>
                <w:jc w:val="center"/>
              </w:trPr>
              <w:tc>
                <w:tcPr>
                  <w:tcW w:w="74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1073" w:type="dxa"/>
                  <w:tcBorders>
                    <w:bottom w:val="single" w:color="auto" w:sz="4" w:space="0"/>
                    <w:tl2br w:val="nil"/>
                    <w:tr2bl w:val="nil"/>
                  </w:tcBorders>
                  <w:vAlign w:val="center"/>
                </w:tcPr>
                <w:p>
                  <w:pPr>
                    <w:pStyle w:val="25"/>
                    <w:keepNext w:val="0"/>
                    <w:keepLines w:val="0"/>
                    <w:pageBreakBefore w:val="0"/>
                    <w:widowControl/>
                    <w:kinsoku/>
                    <w:wordWrap/>
                    <w:overflowPunct/>
                    <w:topLinePunct w:val="0"/>
                    <w:autoSpaceDE/>
                    <w:autoSpaceDN/>
                    <w:bidi w:val="0"/>
                    <w:adjustRightInd w:val="0"/>
                    <w:snapToGrid w:val="0"/>
                    <w:spacing w:after="0"/>
                    <w:textAlignment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2#车间</w:t>
                  </w:r>
                </w:p>
              </w:tc>
              <w:tc>
                <w:tcPr>
                  <w:tcW w:w="3250" w:type="dxa"/>
                  <w:tcBorders>
                    <w:bottom w:val="single" w:color="auto" w:sz="4" w:space="0"/>
                    <w:tl2br w:val="nil"/>
                    <w:tr2bl w:val="nil"/>
                  </w:tcBorders>
                  <w:vAlign w:val="center"/>
                </w:tcPr>
                <w:p>
                  <w:pPr>
                    <w:pStyle w:val="25"/>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建筑面积980m</w:t>
                  </w:r>
                  <w:r>
                    <w:rPr>
                      <w:rFonts w:hint="eastAsia" w:ascii="Times New Roman" w:hAnsi="Times New Roman" w:eastAsia="宋体" w:cs="Times New Roman"/>
                      <w:color w:val="auto"/>
                      <w:sz w:val="21"/>
                      <w:szCs w:val="21"/>
                      <w:vertAlign w:val="superscript"/>
                      <w:lang w:val="en-US" w:eastAsia="zh-CN" w:bidi="ar-SA"/>
                    </w:rPr>
                    <w:t>2</w:t>
                  </w:r>
                  <w:r>
                    <w:rPr>
                      <w:rFonts w:hint="eastAsia" w:ascii="Times New Roman" w:hAnsi="Times New Roman" w:eastAsia="宋体" w:cs="Times New Roman"/>
                      <w:color w:val="auto"/>
                      <w:sz w:val="21"/>
                      <w:szCs w:val="21"/>
                      <w:lang w:val="en-US" w:eastAsia="zh-CN" w:bidi="ar-SA"/>
                    </w:rPr>
                    <w:t>，1层，钢结构，用于非膨胀型防火涂料生产</w:t>
                  </w:r>
                </w:p>
              </w:tc>
              <w:tc>
                <w:tcPr>
                  <w:tcW w:w="3073" w:type="dxa"/>
                  <w:tcBorders>
                    <w:bottom w:val="single" w:color="auto" w:sz="4" w:space="0"/>
                    <w:tl2br w:val="nil"/>
                    <w:tr2bl w:val="nil"/>
                  </w:tcBorders>
                  <w:vAlign w:val="center"/>
                </w:tcPr>
                <w:p>
                  <w:pPr>
                    <w:pStyle w:val="25"/>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建筑面积980m</w:t>
                  </w:r>
                  <w:r>
                    <w:rPr>
                      <w:rFonts w:hint="eastAsia" w:ascii="Times New Roman" w:hAnsi="Times New Roman" w:eastAsia="宋体" w:cs="Times New Roman"/>
                      <w:color w:val="auto"/>
                      <w:sz w:val="21"/>
                      <w:szCs w:val="21"/>
                      <w:vertAlign w:val="superscript"/>
                      <w:lang w:val="en-US" w:eastAsia="zh-CN" w:bidi="ar-SA"/>
                    </w:rPr>
                    <w:t>2</w:t>
                  </w:r>
                  <w:r>
                    <w:rPr>
                      <w:rFonts w:hint="eastAsia" w:ascii="Times New Roman" w:hAnsi="Times New Roman" w:eastAsia="宋体" w:cs="Times New Roman"/>
                      <w:color w:val="auto"/>
                      <w:sz w:val="21"/>
                      <w:szCs w:val="21"/>
                      <w:lang w:val="en-US" w:eastAsia="zh-CN" w:bidi="ar-SA"/>
                    </w:rPr>
                    <w:t>，1层，钢结构，用于非膨胀型防火涂料生产</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6"/>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pPr>
                    <w:pStyle w:val="25"/>
                    <w:keepNext w:val="0"/>
                    <w:keepLines w:val="0"/>
                    <w:pageBreakBefore w:val="0"/>
                    <w:widowControl/>
                    <w:kinsoku/>
                    <w:wordWrap/>
                    <w:overflowPunct/>
                    <w:topLinePunct w:val="0"/>
                    <w:autoSpaceDE/>
                    <w:autoSpaceDN/>
                    <w:bidi w:val="0"/>
                    <w:adjustRightInd w:val="0"/>
                    <w:snapToGrid w:val="0"/>
                    <w:spacing w:after="0"/>
                    <w:textAlignment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3#车间</w:t>
                  </w:r>
                </w:p>
              </w:tc>
              <w:tc>
                <w:tcPr>
                  <w:tcW w:w="3250" w:type="dxa"/>
                  <w:tcBorders>
                    <w:bottom w:val="single" w:color="auto" w:sz="4" w:space="0"/>
                    <w:tl2br w:val="nil"/>
                    <w:tr2bl w:val="nil"/>
                  </w:tcBorders>
                  <w:vAlign w:val="center"/>
                </w:tcPr>
                <w:p>
                  <w:pPr>
                    <w:pStyle w:val="25"/>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建筑面积500m</w:t>
                  </w:r>
                  <w:r>
                    <w:rPr>
                      <w:rFonts w:hint="eastAsia" w:ascii="Times New Roman" w:hAnsi="Times New Roman" w:eastAsia="宋体" w:cs="Times New Roman"/>
                      <w:color w:val="auto"/>
                      <w:sz w:val="21"/>
                      <w:szCs w:val="21"/>
                      <w:vertAlign w:val="superscript"/>
                      <w:lang w:val="en-US" w:eastAsia="zh-CN" w:bidi="ar-SA"/>
                    </w:rPr>
                    <w:t>2</w:t>
                  </w:r>
                  <w:r>
                    <w:rPr>
                      <w:rFonts w:hint="eastAsia" w:ascii="Times New Roman" w:hAnsi="Times New Roman" w:eastAsia="宋体" w:cs="Times New Roman"/>
                      <w:color w:val="auto"/>
                      <w:sz w:val="21"/>
                      <w:szCs w:val="21"/>
                      <w:lang w:val="en-US" w:eastAsia="zh-CN" w:bidi="ar-SA"/>
                    </w:rPr>
                    <w:t>，1层，钢结构，用于存放膨胀型及非膨胀型防火涂料成品</w:t>
                  </w:r>
                </w:p>
              </w:tc>
              <w:tc>
                <w:tcPr>
                  <w:tcW w:w="3073" w:type="dxa"/>
                  <w:tcBorders>
                    <w:bottom w:val="single" w:color="auto" w:sz="4" w:space="0"/>
                    <w:tl2br w:val="nil"/>
                    <w:tr2bl w:val="nil"/>
                  </w:tcBorders>
                  <w:vAlign w:val="center"/>
                </w:tcPr>
                <w:p>
                  <w:pPr>
                    <w:pStyle w:val="25"/>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建筑面积500m</w:t>
                  </w:r>
                  <w:r>
                    <w:rPr>
                      <w:rFonts w:hint="eastAsia" w:ascii="Times New Roman" w:hAnsi="Times New Roman" w:eastAsia="宋体" w:cs="Times New Roman"/>
                      <w:color w:val="auto"/>
                      <w:sz w:val="21"/>
                      <w:szCs w:val="21"/>
                      <w:vertAlign w:val="superscript"/>
                      <w:lang w:val="en-US" w:eastAsia="zh-CN" w:bidi="ar-SA"/>
                    </w:rPr>
                    <w:t>2</w:t>
                  </w:r>
                  <w:r>
                    <w:rPr>
                      <w:rFonts w:hint="eastAsia" w:ascii="Times New Roman" w:hAnsi="Times New Roman" w:eastAsia="宋体" w:cs="Times New Roman"/>
                      <w:color w:val="auto"/>
                      <w:sz w:val="21"/>
                      <w:szCs w:val="21"/>
                      <w:lang w:val="en-US" w:eastAsia="zh-CN" w:bidi="ar-SA"/>
                    </w:rPr>
                    <w:t>，1层，钢结构，用于存放膨胀型及非膨胀型防火涂料成品</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6"/>
                      <w:rFonts w:hint="default" w:ascii="Times New Roman" w:hAnsi="Times New Roman" w:eastAsia="宋体" w:cs="Times New Roman"/>
                      <w:color w:val="000000"/>
                      <w:sz w:val="21"/>
                      <w:szCs w:val="21"/>
                      <w:lang w:val="en-US"/>
                    </w:rPr>
                  </w:pPr>
                  <w:r>
                    <w:rPr>
                      <w:rStyle w:val="26"/>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7"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pPr>
                    <w:pStyle w:val="25"/>
                    <w:keepNext w:val="0"/>
                    <w:keepLines w:val="0"/>
                    <w:pageBreakBefore w:val="0"/>
                    <w:widowControl/>
                    <w:kinsoku/>
                    <w:wordWrap/>
                    <w:overflowPunct/>
                    <w:topLinePunct w:val="0"/>
                    <w:autoSpaceDE/>
                    <w:autoSpaceDN/>
                    <w:bidi w:val="0"/>
                    <w:adjustRightInd w:val="0"/>
                    <w:snapToGrid w:val="0"/>
                    <w:spacing w:after="0"/>
                    <w:textAlignment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4#车间</w:t>
                  </w:r>
                </w:p>
              </w:tc>
              <w:tc>
                <w:tcPr>
                  <w:tcW w:w="3250" w:type="dxa"/>
                  <w:tcBorders>
                    <w:bottom w:val="single" w:color="auto" w:sz="4" w:space="0"/>
                    <w:tl2br w:val="nil"/>
                    <w:tr2bl w:val="nil"/>
                  </w:tcBorders>
                  <w:vAlign w:val="center"/>
                </w:tcPr>
                <w:p>
                  <w:pPr>
                    <w:pStyle w:val="25"/>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建筑面积245m</w:t>
                  </w:r>
                  <w:r>
                    <w:rPr>
                      <w:rFonts w:hint="eastAsia" w:ascii="Times New Roman" w:hAnsi="Times New Roman" w:eastAsia="宋体" w:cs="Times New Roman"/>
                      <w:color w:val="auto"/>
                      <w:sz w:val="21"/>
                      <w:szCs w:val="21"/>
                      <w:vertAlign w:val="superscript"/>
                      <w:lang w:val="en-US" w:eastAsia="zh-CN" w:bidi="ar-SA"/>
                    </w:rPr>
                    <w:t>2</w:t>
                  </w:r>
                  <w:r>
                    <w:rPr>
                      <w:rFonts w:hint="eastAsia" w:ascii="Times New Roman" w:hAnsi="Times New Roman" w:eastAsia="宋体" w:cs="Times New Roman"/>
                      <w:color w:val="auto"/>
                      <w:sz w:val="21"/>
                      <w:szCs w:val="21"/>
                      <w:lang w:val="en-US" w:eastAsia="zh-CN" w:bidi="ar-SA"/>
                    </w:rPr>
                    <w:t>，1层，钢结构，用于膨胀型防火涂料生产</w:t>
                  </w:r>
                </w:p>
              </w:tc>
              <w:tc>
                <w:tcPr>
                  <w:tcW w:w="3073" w:type="dxa"/>
                  <w:tcBorders>
                    <w:bottom w:val="single" w:color="auto" w:sz="4" w:space="0"/>
                    <w:tl2br w:val="nil"/>
                    <w:tr2bl w:val="nil"/>
                  </w:tcBorders>
                  <w:vAlign w:val="center"/>
                </w:tcPr>
                <w:p>
                  <w:pPr>
                    <w:pStyle w:val="25"/>
                    <w:keepNext w:val="0"/>
                    <w:keepLines w:val="0"/>
                    <w:pageBreakBefore w:val="0"/>
                    <w:widowControl/>
                    <w:kinsoku/>
                    <w:wordWrap/>
                    <w:overflowPunct/>
                    <w:topLinePunct w:val="0"/>
                    <w:autoSpaceDE/>
                    <w:autoSpaceDN/>
                    <w:bidi w:val="0"/>
                    <w:adjustRightInd w:val="0"/>
                    <w:snapToGrid w:val="0"/>
                    <w:spacing w:after="0"/>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建筑面积245m</w:t>
                  </w:r>
                  <w:r>
                    <w:rPr>
                      <w:rFonts w:hint="eastAsia" w:ascii="Times New Roman" w:hAnsi="Times New Roman" w:eastAsia="宋体" w:cs="Times New Roman"/>
                      <w:color w:val="auto"/>
                      <w:sz w:val="21"/>
                      <w:szCs w:val="21"/>
                      <w:vertAlign w:val="superscript"/>
                      <w:lang w:val="en-US" w:eastAsia="zh-CN" w:bidi="ar-SA"/>
                    </w:rPr>
                    <w:t>2</w:t>
                  </w:r>
                  <w:r>
                    <w:rPr>
                      <w:rFonts w:hint="eastAsia" w:ascii="Times New Roman" w:hAnsi="Times New Roman" w:eastAsia="宋体" w:cs="Times New Roman"/>
                      <w:color w:val="auto"/>
                      <w:sz w:val="21"/>
                      <w:szCs w:val="21"/>
                      <w:lang w:val="en-US" w:eastAsia="zh-CN" w:bidi="ar-SA"/>
                    </w:rPr>
                    <w:t>，1层，钢结构，用于膨胀型防火涂料生产</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6"/>
                      <w:rFonts w:hint="default" w:ascii="Times New Roman" w:hAnsi="Times New Roman" w:eastAsia="宋体" w:cs="Times New Roman"/>
                      <w:color w:val="000000"/>
                      <w:sz w:val="21"/>
                      <w:szCs w:val="21"/>
                      <w:lang w:val="en-US"/>
                    </w:rPr>
                  </w:pPr>
                  <w:r>
                    <w:rPr>
                      <w:rStyle w:val="26"/>
                      <w:rFonts w:hint="default" w:ascii="Times New Roman" w:hAnsi="Times New Roman" w:eastAsia="宋体" w:cs="Times New Roman"/>
                      <w:color w:val="000000"/>
                      <w:sz w:val="21"/>
                      <w:szCs w:val="21"/>
                      <w:lang w:val="en-US"/>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环保工程</w:t>
                  </w:r>
                </w:p>
              </w:tc>
              <w:tc>
                <w:tcPr>
                  <w:tcW w:w="1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非膨胀型防火涂料生产线：</w:t>
                  </w:r>
                </w:p>
              </w:tc>
              <w:tc>
                <w:tcPr>
                  <w:tcW w:w="325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投料口设置三面密闭式集气装置、包装出气口自带集气装置，搅拌罐出气口设置集气管道，引至配套脉冲袋式除尘器（2#、3#）进行处理，然后与经水泥仓顶除尘器（4#）处理后的废气一同由1根15m排气筒排放（P2）</w:t>
                  </w:r>
                </w:p>
              </w:tc>
              <w:tc>
                <w:tcPr>
                  <w:tcW w:w="3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投料口设置三面密闭式集气装置、包装出气口自带集气装置，搅拌罐出气口设置集气管道，引至配套脉冲袋式除尘器（2#）进行处理，然后与经水泥仓顶除尘器（4#）处理后的废气一同由1根15m排气筒排放（P2）</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减少1条生产线，减少1套除尘器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0" w:hRule="atLeast"/>
                <w:jc w:val="center"/>
              </w:trPr>
              <w:tc>
                <w:tcPr>
                  <w:tcW w:w="7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eastAsiaTheme="minorEastAsia"/>
                      <w:sz w:val="21"/>
                      <w:szCs w:val="21"/>
                      <w:lang w:val="en-US" w:eastAsia="zh-CN"/>
                    </w:rPr>
                    <w:t>膨胀型防火涂料生产线：</w:t>
                  </w:r>
                </w:p>
              </w:tc>
              <w:tc>
                <w:tcPr>
                  <w:tcW w:w="325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投料口设置三面密闭式集气装置，搅拌罐出气口设置集气管道，废气经收集后引至配套脉冲袋式除尘器（5#）进行处理，最终由1根15m排气筒排放（P3）</w:t>
                  </w:r>
                </w:p>
              </w:tc>
              <w:tc>
                <w:tcPr>
                  <w:tcW w:w="3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投料口设置三面密闭式集气装置，搅拌罐出气口设置集气管道，废气经收集后引至配套脉冲袋式除尘器（5#）进行处理，最终由1根15m排气筒排放（P3）</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生活污水</w:t>
                  </w:r>
                </w:p>
              </w:tc>
              <w:tc>
                <w:tcPr>
                  <w:tcW w:w="32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依托原有化粪池（1×20m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）处理后，经市政管网排入长垣市第一污水处理厂</w:t>
                  </w:r>
                </w:p>
              </w:tc>
              <w:tc>
                <w:tcPr>
                  <w:tcW w:w="3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eastAsiaTheme="minorEastAsia"/>
                      <w:sz w:val="21"/>
                      <w:szCs w:val="21"/>
                      <w:lang w:val="en-US" w:eastAsia="zh-CN"/>
                    </w:rPr>
                    <w:t>依托原有化粪池（1×20m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）处理后，经市政管网排入长垣市第一污水处理厂</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一般固废</w:t>
                  </w:r>
                </w:p>
              </w:tc>
              <w:tc>
                <w:tcPr>
                  <w:tcW w:w="3250"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依托原有一般固废暂存暂存间（20m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lang w:val="en-US" w:eastAsia="zh-CN"/>
                    </w:rPr>
                    <w:t>），一般固废在废料库暂存后，定期外售</w:t>
                  </w:r>
                </w:p>
              </w:tc>
              <w:tc>
                <w:tcPr>
                  <w:tcW w:w="3073"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cs="Times New Roman" w:eastAsiaTheme="minorEastAsia"/>
                      <w:sz w:val="21"/>
                      <w:szCs w:val="21"/>
                      <w:lang w:val="en-US" w:eastAsia="zh-CN"/>
                    </w:rPr>
                    <w:t>依托原有一般固废暂存暂存间（20m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lang w:val="en-US" w:eastAsia="zh-CN"/>
                    </w:rPr>
                    <w:t>），一般固废在废料库暂存后，定期外售</w:t>
                  </w:r>
                </w:p>
              </w:tc>
              <w:tc>
                <w:tcPr>
                  <w:tcW w:w="905" w:type="dxa"/>
                  <w:tcBorders>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746" w:type="dxa"/>
                  <w:vMerge w:val="restart"/>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3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30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746" w:type="dxa"/>
                  <w:vMerge w:val="continue"/>
                  <w:tcBorders>
                    <w:top w:val="single" w:color="auto" w:sz="4" w:space="0"/>
                    <w:bottom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07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32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3073"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90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4 </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default" w:ascii="Times New Roman" w:hAnsi="Times New Roman" w:cs="Times New Roman" w:eastAsiaTheme="minorEastAsia"/>
                <w:b/>
                <w:bCs/>
                <w:color w:val="auto"/>
                <w:kern w:val="2"/>
                <w:sz w:val="24"/>
                <w:szCs w:val="24"/>
                <w:highlight w:val="none"/>
                <w:lang w:val="en-US" w:eastAsia="zh-CN" w:bidi="ar-SA"/>
              </w:rPr>
              <w:t>本项目主要设备情况一览表</w:t>
            </w:r>
          </w:p>
          <w:tbl>
            <w:tblPr>
              <w:tblStyle w:val="18"/>
              <w:tblW w:w="915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99"/>
              <w:gridCol w:w="1119"/>
              <w:gridCol w:w="1510"/>
              <w:gridCol w:w="1221"/>
              <w:gridCol w:w="1221"/>
              <w:gridCol w:w="1204"/>
              <w:gridCol w:w="18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43" w:hRule="atLeast"/>
                <w:jc w:val="center"/>
              </w:trPr>
              <w:tc>
                <w:tcPr>
                  <w:tcW w:w="9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序号</w:t>
                  </w:r>
                </w:p>
              </w:tc>
              <w:tc>
                <w:tcPr>
                  <w:tcW w:w="2629" w:type="dxa"/>
                  <w:gridSpan w:val="2"/>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设备</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型号</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计划投入数量（台）</w:t>
                  </w:r>
                </w:p>
              </w:tc>
              <w:tc>
                <w:tcPr>
                  <w:tcW w:w="12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实际建设数量（台）</w:t>
                  </w:r>
                </w:p>
              </w:tc>
              <w:tc>
                <w:tcPr>
                  <w:tcW w:w="18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变化情况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1</w:t>
                  </w:r>
                </w:p>
              </w:tc>
              <w:tc>
                <w:tcPr>
                  <w:tcW w:w="1119" w:type="dxa"/>
                  <w:vMerge w:val="restart"/>
                  <w:tcBorders>
                    <w:left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膨胀型生产线</w:t>
                  </w:r>
                </w:p>
                <w:p>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1510"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分散机</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GFJ-37</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6</w:t>
                  </w:r>
                </w:p>
              </w:tc>
              <w:tc>
                <w:tcPr>
                  <w:tcW w:w="1204"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w:t>
                  </w:r>
                </w:p>
              </w:tc>
              <w:tc>
                <w:tcPr>
                  <w:tcW w:w="1884" w:type="dxa"/>
                  <w:tcBorders>
                    <w:bottom w:val="single" w:color="auto" w:sz="4" w:space="0"/>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减少，为二期内容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119" w:type="dxa"/>
                  <w:vMerge w:val="continue"/>
                  <w:tcBorders>
                    <w:left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color w:val="000000"/>
                      <w:kern w:val="0"/>
                      <w:sz w:val="21"/>
                      <w:szCs w:val="21"/>
                      <w:u w:val="none"/>
                      <w:lang w:val="en-US" w:eastAsia="zh-CN" w:bidi="ar"/>
                    </w:rPr>
                  </w:pPr>
                </w:p>
              </w:tc>
              <w:tc>
                <w:tcPr>
                  <w:tcW w:w="1510"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搅拌罐</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3000L</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6</w:t>
                  </w:r>
                </w:p>
              </w:tc>
              <w:tc>
                <w:tcPr>
                  <w:tcW w:w="12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w:t>
                  </w:r>
                </w:p>
              </w:tc>
              <w:tc>
                <w:tcPr>
                  <w:tcW w:w="18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减少，为二期内容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p>
              </w:tc>
              <w:tc>
                <w:tcPr>
                  <w:tcW w:w="1119" w:type="dxa"/>
                  <w:vMerge w:val="continue"/>
                  <w:tcBorders>
                    <w:left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p>
              </w:tc>
              <w:tc>
                <w:tcPr>
                  <w:tcW w:w="1510"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卧式搅拌机</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罐体5m</w:t>
                  </w:r>
                  <w:r>
                    <w:rPr>
                      <w:rFonts w:hint="eastAsia" w:ascii="Times New Roman" w:hAnsi="Times New Roman" w:eastAsia="宋体" w:cs="Times New Roman"/>
                      <w:color w:val="000000"/>
                      <w:kern w:val="0"/>
                      <w:sz w:val="21"/>
                      <w:szCs w:val="21"/>
                      <w:vertAlign w:val="superscript"/>
                      <w:lang w:val="en-US" w:eastAsia="zh-CN"/>
                    </w:rPr>
                    <w:t>3</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6</w:t>
                  </w:r>
                </w:p>
              </w:tc>
              <w:tc>
                <w:tcPr>
                  <w:tcW w:w="12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8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减少，为二期内容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w:t>
                  </w:r>
                </w:p>
              </w:tc>
              <w:tc>
                <w:tcPr>
                  <w:tcW w:w="1119" w:type="dxa"/>
                  <w:vMerge w:val="continue"/>
                  <w:tcBorders>
                    <w:left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p>
              </w:tc>
              <w:tc>
                <w:tcPr>
                  <w:tcW w:w="1510"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拉缸</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2T</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4</w:t>
                  </w:r>
                </w:p>
              </w:tc>
              <w:tc>
                <w:tcPr>
                  <w:tcW w:w="12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w:t>
                  </w:r>
                </w:p>
              </w:tc>
              <w:tc>
                <w:tcPr>
                  <w:tcW w:w="18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减少，为二期内容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w:t>
                  </w:r>
                </w:p>
              </w:tc>
              <w:tc>
                <w:tcPr>
                  <w:tcW w:w="1119" w:type="dxa"/>
                  <w:vMerge w:val="restart"/>
                  <w:tcBorders>
                    <w:left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非膨胀型生产线</w:t>
                  </w:r>
                </w:p>
              </w:tc>
              <w:tc>
                <w:tcPr>
                  <w:tcW w:w="1510"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混合搅拌机</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罐体6m</w:t>
                  </w:r>
                  <w:r>
                    <w:rPr>
                      <w:rFonts w:hint="eastAsia" w:ascii="Times New Roman" w:hAnsi="Times New Roman" w:eastAsia="宋体" w:cs="Times New Roman"/>
                      <w:color w:val="000000"/>
                      <w:kern w:val="0"/>
                      <w:sz w:val="21"/>
                      <w:szCs w:val="21"/>
                      <w:vertAlign w:val="superscript"/>
                      <w:lang w:val="en-US" w:eastAsia="zh-CN"/>
                    </w:rPr>
                    <w:t>3</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2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0</w:t>
                  </w:r>
                </w:p>
              </w:tc>
              <w:tc>
                <w:tcPr>
                  <w:tcW w:w="18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减少，为二期内容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6</w:t>
                  </w:r>
                </w:p>
              </w:tc>
              <w:tc>
                <w:tcPr>
                  <w:tcW w:w="1119" w:type="dxa"/>
                  <w:vMerge w:val="continue"/>
                  <w:tcBorders>
                    <w:left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p>
              </w:tc>
              <w:tc>
                <w:tcPr>
                  <w:tcW w:w="1510"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混合搅拌机</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罐体3m</w:t>
                  </w:r>
                  <w:r>
                    <w:rPr>
                      <w:rFonts w:hint="eastAsia" w:ascii="Times New Roman" w:hAnsi="Times New Roman" w:eastAsia="宋体" w:cs="Times New Roman"/>
                      <w:color w:val="000000"/>
                      <w:kern w:val="0"/>
                      <w:sz w:val="21"/>
                      <w:szCs w:val="21"/>
                      <w:vertAlign w:val="superscript"/>
                      <w:lang w:val="en-US" w:eastAsia="zh-CN"/>
                    </w:rPr>
                    <w:t>3</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2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8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7</w:t>
                  </w:r>
                </w:p>
              </w:tc>
              <w:tc>
                <w:tcPr>
                  <w:tcW w:w="1119" w:type="dxa"/>
                  <w:vMerge w:val="continue"/>
                  <w:tcBorders>
                    <w:left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p>
              </w:tc>
              <w:tc>
                <w:tcPr>
                  <w:tcW w:w="1510"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提升机</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2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8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减少，为二期内容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8</w:t>
                  </w:r>
                </w:p>
              </w:tc>
              <w:tc>
                <w:tcPr>
                  <w:tcW w:w="1119" w:type="dxa"/>
                  <w:vMerge w:val="continue"/>
                  <w:tcBorders>
                    <w:left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p>
              </w:tc>
              <w:tc>
                <w:tcPr>
                  <w:tcW w:w="1510"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水泥仓</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50T</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2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8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99"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9</w:t>
                  </w:r>
                </w:p>
              </w:tc>
              <w:tc>
                <w:tcPr>
                  <w:tcW w:w="1119" w:type="dxa"/>
                  <w:vMerge w:val="continue"/>
                  <w:tcBorders>
                    <w:left w:val="single" w:color="auto" w:sz="4" w:space="0"/>
                    <w:righ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p>
              </w:tc>
              <w:tc>
                <w:tcPr>
                  <w:tcW w:w="1510" w:type="dxa"/>
                  <w:tcBorders>
                    <w:left w:val="single" w:color="auto" w:sz="4" w:space="0"/>
                    <w:tl2br w:val="nil"/>
                    <w:tr2bl w:val="nil"/>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阀口包装机</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12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2</w:t>
                  </w:r>
                </w:p>
              </w:tc>
              <w:tc>
                <w:tcPr>
                  <w:tcW w:w="120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88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减少，为二期内容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999" w:type="dxa"/>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10</w:t>
                  </w:r>
                </w:p>
              </w:tc>
              <w:tc>
                <w:tcPr>
                  <w:tcW w:w="111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p>
              </w:tc>
              <w:tc>
                <w:tcPr>
                  <w:tcW w:w="1510" w:type="dxa"/>
                  <w:tcBorders>
                    <w:left w:val="single" w:color="auto" w:sz="4" w:space="0"/>
                  </w:tcBorders>
                  <w:vAlign w:val="center"/>
                </w:tcPr>
                <w:p>
                  <w:pPr>
                    <w:keepNext w:val="0"/>
                    <w:keepLines w:val="0"/>
                    <w:pageBreakBefore w:val="0"/>
                    <w:widowControl/>
                    <w:suppressLineNumbers w:val="0"/>
                    <w:kinsoku/>
                    <w:wordWrap/>
                    <w:overflowPunct/>
                    <w:topLinePunct w:val="0"/>
                    <w:autoSpaceDE/>
                    <w:autoSpaceDN/>
                    <w:bidi w:val="0"/>
                    <w:spacing w:after="0"/>
                    <w:jc w:val="center"/>
                    <w:textAlignment w:val="center"/>
                    <w:rPr>
                      <w:rFonts w:hint="eastAsia" w:ascii="Times New Roman" w:hAnsi="Times New Roman" w:eastAsia="宋体" w:cs="Times New Roman"/>
                      <w:i w:val="0"/>
                      <w:color w:val="000000"/>
                      <w:kern w:val="0"/>
                      <w:sz w:val="21"/>
                      <w:szCs w:val="21"/>
                      <w:u w:val="none"/>
                      <w:lang w:val="en-US" w:eastAsia="zh-CN" w:bidi="ar"/>
                    </w:rPr>
                  </w:pPr>
                  <w:r>
                    <w:rPr>
                      <w:rFonts w:hint="eastAsia" w:ascii="Times New Roman" w:hAnsi="Times New Roman" w:eastAsia="宋体" w:cs="Times New Roman"/>
                      <w:i w:val="0"/>
                      <w:color w:val="000000"/>
                      <w:kern w:val="0"/>
                      <w:sz w:val="21"/>
                      <w:szCs w:val="21"/>
                      <w:u w:val="none"/>
                      <w:lang w:val="en-US" w:eastAsia="zh-CN" w:bidi="ar"/>
                    </w:rPr>
                    <w:t>空压机</w:t>
                  </w:r>
                </w:p>
              </w:tc>
              <w:tc>
                <w:tcPr>
                  <w:tcW w:w="1221"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1221"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20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p>
              </w:tc>
              <w:tc>
                <w:tcPr>
                  <w:tcW w:w="1884" w:type="dxa"/>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8"/>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941"/>
              <w:gridCol w:w="2590"/>
              <w:gridCol w:w="2594"/>
              <w:gridCol w:w="1472"/>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94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259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259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147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76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94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非膨胀型防火涂料生产线：</w:t>
                  </w:r>
                </w:p>
              </w:tc>
              <w:tc>
                <w:tcPr>
                  <w:tcW w:w="259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投料口设置三面密闭式集气装置、包装出气口自带集气装置，搅拌罐出气口设置集气管道，引至配套脉冲袋式除尘器进行处理，然后与经水泥仓顶除尘器处理后的废气一同由1根15m排气筒排放（P2）</w:t>
                  </w:r>
                </w:p>
              </w:tc>
              <w:tc>
                <w:tcPr>
                  <w:tcW w:w="259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投料口设置三面密闭式集气装置、包装出气口自带集气装置，搅拌罐出气口设置集气管道，引至配套脉冲袋式除尘器进行处理，然后与经水泥仓顶除尘器处理后的废气一同由1根15m排气筒排放（P2）</w:t>
                  </w:r>
                </w:p>
              </w:tc>
              <w:tc>
                <w:tcPr>
                  <w:tcW w:w="147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1套</w:t>
                  </w:r>
                </w:p>
              </w:tc>
              <w:tc>
                <w:tcPr>
                  <w:tcW w:w="76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6" w:type="dxa"/>
                  <w:vMerge w:val="continue"/>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4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eastAsiaTheme="minorEastAsia"/>
                      <w:sz w:val="21"/>
                      <w:szCs w:val="21"/>
                      <w:lang w:val="en-US" w:eastAsia="zh-CN"/>
                    </w:rPr>
                    <w:t>膨胀型防火涂料生产线：</w:t>
                  </w:r>
                </w:p>
              </w:tc>
              <w:tc>
                <w:tcPr>
                  <w:tcW w:w="259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投料口设置三面密闭式集气装置，搅拌罐出气口设置集气管道，废气经收集后引至配套脉冲袋式除尘器进行处理，最终由1根15m排气筒排放（P3）</w:t>
                  </w:r>
                </w:p>
              </w:tc>
              <w:tc>
                <w:tcPr>
                  <w:tcW w:w="259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投料口设置三面密闭式集气装置，搅拌罐出气口设置集气管道，废气经收集后引至配套脉冲袋式除尘器进行处理，最终由1根15m排气筒排放（P3）</w:t>
                  </w:r>
                </w:p>
              </w:tc>
              <w:tc>
                <w:tcPr>
                  <w:tcW w:w="147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1套</w:t>
                  </w:r>
                </w:p>
              </w:tc>
              <w:tc>
                <w:tcPr>
                  <w:tcW w:w="76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94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259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依托原有化粪池（1×20m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）处理后，经市政管网排入长垣市第一污水处理厂</w:t>
                  </w:r>
                </w:p>
              </w:tc>
              <w:tc>
                <w:tcPr>
                  <w:tcW w:w="259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依托原有化粪池（1×20m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）处理后，经市政管网排入长垣市第一污水处理厂</w:t>
                  </w:r>
                </w:p>
              </w:tc>
              <w:tc>
                <w:tcPr>
                  <w:tcW w:w="147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个</w:t>
                  </w:r>
                </w:p>
              </w:tc>
              <w:tc>
                <w:tcPr>
                  <w:tcW w:w="76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94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25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依托原有一般固废暂存暂存间（20m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lang w:val="en-US" w:eastAsia="zh-CN"/>
                    </w:rPr>
                    <w:t>），一般固废在废料库暂存后，定期外售</w:t>
                  </w:r>
                </w:p>
              </w:tc>
              <w:tc>
                <w:tcPr>
                  <w:tcW w:w="259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依托原有一般固废暂存暂存间（20m</w:t>
                  </w:r>
                  <w:r>
                    <w:rPr>
                      <w:rFonts w:hint="eastAsia" w:ascii="Times New Roman" w:hAnsi="Times New Roman" w:cs="Times New Roman" w:eastAsiaTheme="minorEastAsia"/>
                      <w:sz w:val="21"/>
                      <w:szCs w:val="21"/>
                      <w:vertAlign w:val="superscript"/>
                      <w:lang w:val="en-US" w:eastAsia="zh-CN"/>
                    </w:rPr>
                    <w:t>2</w:t>
                  </w:r>
                  <w:r>
                    <w:rPr>
                      <w:rFonts w:hint="eastAsia" w:ascii="Times New Roman" w:hAnsi="Times New Roman" w:cs="Times New Roman" w:eastAsiaTheme="minorEastAsia"/>
                      <w:sz w:val="21"/>
                      <w:szCs w:val="21"/>
                      <w:lang w:val="en-US" w:eastAsia="zh-CN"/>
                    </w:rPr>
                    <w:t>），一般固废在废料库暂存后，定期外售</w:t>
                  </w:r>
                </w:p>
              </w:tc>
              <w:tc>
                <w:tcPr>
                  <w:tcW w:w="14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76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噪声</w:t>
                  </w:r>
                </w:p>
              </w:tc>
              <w:tc>
                <w:tcPr>
                  <w:tcW w:w="94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生产过程</w:t>
                  </w:r>
                </w:p>
              </w:tc>
              <w:tc>
                <w:tcPr>
                  <w:tcW w:w="2590"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259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基础减振、车间隔声</w:t>
                  </w:r>
                </w:p>
              </w:tc>
              <w:tc>
                <w:tcPr>
                  <w:tcW w:w="147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764"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本项目产品主要为水性钢结构防火涂料，具体见表6所示。</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eastAsia"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6</w:t>
            </w:r>
            <w:r>
              <w:rPr>
                <w:rFonts w:hint="default" w:ascii="Times New Roman" w:hAnsi="Times New Roman" w:cs="Times New Roman" w:eastAsiaTheme="minorEastAsia"/>
                <w:b/>
                <w:bCs/>
                <w:color w:val="auto"/>
                <w:kern w:val="2"/>
                <w:sz w:val="24"/>
                <w:szCs w:val="24"/>
                <w:lang w:val="en-US" w:eastAsia="zh-CN" w:bidi="ar-SA"/>
              </w:rPr>
              <w:t xml:space="preserve">  本项目产品方案</w:t>
            </w:r>
          </w:p>
          <w:tbl>
            <w:tblPr>
              <w:tblStyle w:val="18"/>
              <w:tblW w:w="90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2988"/>
              <w:gridCol w:w="832"/>
              <w:gridCol w:w="1055"/>
              <w:gridCol w:w="1277"/>
              <w:gridCol w:w="1266"/>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584"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序号</w:t>
                  </w:r>
                </w:p>
              </w:tc>
              <w:tc>
                <w:tcPr>
                  <w:tcW w:w="2988" w:type="dxa"/>
                  <w:tcBorders>
                    <w:top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名称</w:t>
                  </w:r>
                </w:p>
              </w:tc>
              <w:tc>
                <w:tcPr>
                  <w:tcW w:w="832"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单位</w:t>
                  </w:r>
                </w:p>
              </w:tc>
              <w:tc>
                <w:tcPr>
                  <w:tcW w:w="1055"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规格</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计划年产量</w:t>
                  </w:r>
                </w:p>
              </w:tc>
              <w:tc>
                <w:tcPr>
                  <w:tcW w:w="1266"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实际年产量（一期）</w:t>
                  </w:r>
                </w:p>
              </w:tc>
              <w:tc>
                <w:tcPr>
                  <w:tcW w:w="1095"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年产量（二期）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2988"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非膨胀型水性钢结构防火涂料</w:t>
                  </w:r>
                </w:p>
              </w:tc>
              <w:tc>
                <w:tcPr>
                  <w:tcW w:w="832"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吨</w:t>
                  </w:r>
                </w:p>
              </w:tc>
              <w:tc>
                <w:tcPr>
                  <w:tcW w:w="1055"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25kg/袋</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3000</w:t>
                  </w:r>
                </w:p>
              </w:tc>
              <w:tc>
                <w:tcPr>
                  <w:tcW w:w="1266"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1500</w:t>
                  </w:r>
                </w:p>
              </w:tc>
              <w:tc>
                <w:tcPr>
                  <w:tcW w:w="1095"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4"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2988"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膨胀型水性钢结构防火涂料</w:t>
                  </w:r>
                </w:p>
              </w:tc>
              <w:tc>
                <w:tcPr>
                  <w:tcW w:w="832"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吨</w:t>
                  </w:r>
                </w:p>
              </w:tc>
              <w:tc>
                <w:tcPr>
                  <w:tcW w:w="1055"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25kg/桶</w:t>
                  </w:r>
                </w:p>
              </w:tc>
              <w:tc>
                <w:tcPr>
                  <w:tcW w:w="1277"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1800</w:t>
                  </w:r>
                </w:p>
              </w:tc>
              <w:tc>
                <w:tcPr>
                  <w:tcW w:w="1266"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1000</w:t>
                  </w:r>
                </w:p>
              </w:tc>
              <w:tc>
                <w:tcPr>
                  <w:tcW w:w="1095"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800</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7   </w:t>
            </w:r>
            <w:r>
              <w:rPr>
                <w:rFonts w:hint="default" w:ascii="Times New Roman" w:hAnsi="Times New Roman" w:cs="Times New Roman" w:eastAsiaTheme="minorEastAsia"/>
                <w:b/>
                <w:bCs/>
                <w:color w:val="auto"/>
                <w:kern w:val="2"/>
                <w:sz w:val="24"/>
                <w:szCs w:val="24"/>
                <w:lang w:val="en-US" w:eastAsia="zh-CN" w:bidi="ar-SA"/>
              </w:rPr>
              <w:t>本项目原辅材料及能源消耗情况一览表</w:t>
            </w:r>
          </w:p>
          <w:tbl>
            <w:tblPr>
              <w:tblStyle w:val="18"/>
              <w:tblW w:w="913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3"/>
              <w:gridCol w:w="1105"/>
              <w:gridCol w:w="1770"/>
              <w:gridCol w:w="1007"/>
              <w:gridCol w:w="1325"/>
              <w:gridCol w:w="1488"/>
              <w:gridCol w:w="17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2875" w:type="dxa"/>
                  <w:gridSpan w:val="2"/>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名称</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单位</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计划消耗量</w:t>
                  </w:r>
                </w:p>
              </w:tc>
              <w:tc>
                <w:tcPr>
                  <w:tcW w:w="148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实际消耗量</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105" w:type="dxa"/>
                  <w:vMerge w:val="restart"/>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非膨胀性水性钢结构防火涂料</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1770" w:type="dxa"/>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普通硅酸盐水泥</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1500</w:t>
                  </w:r>
                </w:p>
              </w:tc>
              <w:tc>
                <w:tcPr>
                  <w:tcW w:w="1488"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750</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110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1770"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膨胀蛭石</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300</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150</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110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1770"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膨胀珍珠岩</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300</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150</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10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1770"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填充料（纤维）</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280</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140</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10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1770"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轻质碳酸钙</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620</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310</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10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1770"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包装袋</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万个/a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110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膨胀性水性钢结构防火涂料</w:t>
                  </w:r>
                </w:p>
              </w:tc>
              <w:tc>
                <w:tcPr>
                  <w:tcW w:w="1770"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聚磷酸铵</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270</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110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1770"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三聚氰胺</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144</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65</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110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1770"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季戊四醇</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126</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110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1770"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粉体胶</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w:t>
                  </w:r>
                </w:p>
              </w:tc>
              <w:tc>
                <w:tcPr>
                  <w:tcW w:w="110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1770"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钛白粉</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90</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40</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w:t>
                  </w:r>
                </w:p>
              </w:tc>
              <w:tc>
                <w:tcPr>
                  <w:tcW w:w="110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1770"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钙粉</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270</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120</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w:t>
                  </w:r>
                </w:p>
              </w:tc>
              <w:tc>
                <w:tcPr>
                  <w:tcW w:w="110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1770"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珍珠岩</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180</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w:t>
                  </w:r>
                </w:p>
              </w:tc>
              <w:tc>
                <w:tcPr>
                  <w:tcW w:w="110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1770"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水溶性纤维棉</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w:t>
                  </w:r>
                </w:p>
              </w:tc>
              <w:tc>
                <w:tcPr>
                  <w:tcW w:w="110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1770"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蛭石</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216</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w:t>
                  </w:r>
                </w:p>
              </w:tc>
              <w:tc>
                <w:tcPr>
                  <w:tcW w:w="1105"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1770"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生产用水</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450</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214</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w:t>
                  </w:r>
                </w:p>
              </w:tc>
              <w:tc>
                <w:tcPr>
                  <w:tcW w:w="110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p>
              </w:tc>
              <w:tc>
                <w:tcPr>
                  <w:tcW w:w="1770" w:type="dxa"/>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铁桶</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万个/a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7.2</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3.24</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w:t>
                  </w:r>
                </w:p>
              </w:tc>
              <w:tc>
                <w:tcPr>
                  <w:tcW w:w="2875" w:type="dxa"/>
                  <w:gridSpan w:val="2"/>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生活用水</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64.8</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64.8</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33"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w:t>
                  </w:r>
                </w:p>
              </w:tc>
              <w:tc>
                <w:tcPr>
                  <w:tcW w:w="2875" w:type="dxa"/>
                  <w:gridSpan w:val="2"/>
                  <w:tcBorders>
                    <w:top w:val="single" w:color="auto" w:sz="4" w:space="0"/>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1007"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万kwh/a</w:t>
                  </w:r>
                </w:p>
              </w:tc>
              <w:tc>
                <w:tcPr>
                  <w:tcW w:w="1325"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w:t>
                  </w:r>
                </w:p>
              </w:tc>
              <w:tc>
                <w:tcPr>
                  <w:tcW w:w="1488" w:type="dxa"/>
                  <w:vAlign w:val="bottom"/>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w:t>
                  </w:r>
                </w:p>
              </w:tc>
              <w:tc>
                <w:tcPr>
                  <w:tcW w:w="1711" w:type="dxa"/>
                  <w:vAlign w:val="center"/>
                </w:tcPr>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减少，二期内容</w:t>
                  </w:r>
                </w:p>
              </w:tc>
            </w:tr>
          </w:tbl>
          <w:p>
            <w:pPr>
              <w:pStyle w:val="27"/>
              <w:keepNext w:val="0"/>
              <w:keepLines w:val="0"/>
              <w:pageBreakBefore w:val="0"/>
              <w:widowControl/>
              <w:kinsoku/>
              <w:wordWrap/>
              <w:overflowPunct/>
              <w:topLinePunct w:val="0"/>
              <w:autoSpaceDE/>
              <w:autoSpaceDN/>
              <w:bidi w:val="0"/>
              <w:adjustRightInd/>
              <w:snapToGrid/>
              <w:spacing w:after="0" w:afterLines="0" w:line="520" w:lineRule="exact"/>
              <w:ind w:left="0" w:leftChars="0" w:firstLine="0" w:firstLineChars="0"/>
              <w:textAlignment w:val="baseline"/>
              <w:outlineLvl w:val="9"/>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给排水：</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①生产用水</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本项目用水主要为产品添加用水和设备清洗用水。</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a、产品添加用水</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本项目膨胀型水性钢结构防火涂料生产过程中需要添加配料用水，配料用水来自于厂区的自来水，根据企业提供的资料可知，每1t产品用水量为0.25m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，则项目年产1000吨产品用水量为250m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/a，设</w:t>
            </w:r>
            <w:r>
              <w:rPr>
                <w:rFonts w:hint="eastAsia" w:ascii="Times New Roman" w:hAnsi="Times New Roman" w:eastAsia="宋体" w:cs="Times New Roman"/>
                <w:color w:val="auto"/>
                <w:sz w:val="24"/>
                <w:szCs w:val="24"/>
                <w:highlight w:val="none"/>
                <w:lang w:val="en-US" w:eastAsia="zh-CN"/>
              </w:rPr>
              <w:t>备清洗废水为36m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/a，则新鲜水用量为214m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/a（0.713m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lang w:val="en-US" w:eastAsia="zh-CN"/>
              </w:rPr>
              <w:t>，全部进入产品。</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b、设备清洗用水</w:t>
            </w:r>
          </w:p>
          <w:p>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本项目膨胀型水性钢结构防火涂料生产过程中搅拌罐需人工每天进行清洗，该生产线共设置6个搅拌罐（4个搅拌罐，2个卧式搅拌机），每个搅拌罐每次清洗水用量为20L/d，则清洗水用量为36m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为防止物料凝固在搅拌机内，需每天下班时对搅拌机进行清洗，用高压水枪冲洗搅拌罐，由于膨胀型水性钢结构防火涂料的用水水质要求不高，该清洗水可直接暂存于塑料桶内，待第二天生产作为生产添加用水（含沉淀物，一同进入产品），不外排。</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生活水：本项目新增劳动定员6人，均不在厂区食宿，年工作270天，营运期职工办公生活用水量为0.24m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/d（64.8m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/a），产污系数取80%，即生活污水产生量为0.192m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/d（51.84m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/a）。</w:t>
            </w:r>
          </w:p>
          <w:p>
            <w:pPr>
              <w:tabs>
                <w:tab w:val="left" w:pos="417"/>
              </w:tabs>
              <w:spacing w:line="520" w:lineRule="exact"/>
              <w:ind w:firstLine="440" w:firstLineChars="200"/>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pPr>
            <w:r>
              <w:drawing>
                <wp:anchor distT="0" distB="0" distL="114300" distR="114300" simplePos="0" relativeHeight="251681792" behindDoc="0" locked="0" layoutInCell="1" allowOverlap="1">
                  <wp:simplePos x="0" y="0"/>
                  <wp:positionH relativeFrom="column">
                    <wp:posOffset>1302385</wp:posOffset>
                  </wp:positionH>
                  <wp:positionV relativeFrom="paragraph">
                    <wp:posOffset>314325</wp:posOffset>
                  </wp:positionV>
                  <wp:extent cx="2941955" cy="1480820"/>
                  <wp:effectExtent l="0" t="0" r="10795" b="5080"/>
                  <wp:wrapNone/>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8"/>
                          <a:stretch>
                            <a:fillRect/>
                          </a:stretch>
                        </pic:blipFill>
                        <pic:spPr>
                          <a:xfrm>
                            <a:off x="0" y="0"/>
                            <a:ext cx="2941955" cy="1480820"/>
                          </a:xfrm>
                          <a:prstGeom prst="rect">
                            <a:avLst/>
                          </a:prstGeom>
                          <a:noFill/>
                          <a:ln>
                            <a:noFill/>
                          </a:ln>
                        </pic:spPr>
                      </pic:pic>
                    </a:graphicData>
                  </a:graphic>
                </wp:anchor>
              </w:drawing>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本项目水平衡图见图1。</w:t>
            </w: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rPr>
                <w:rFonts w:hint="default"/>
                <w:lang w:val="en-US" w:eastAsia="zh-CN"/>
              </w:rPr>
            </w:pP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val="0"/>
              <w:spacing w:after="0" w:line="520" w:lineRule="exact"/>
              <w:ind w:firstLine="0" w:firstLineChars="0"/>
              <w:jc w:val="center"/>
              <w:textAlignment w:val="auto"/>
              <w:rPr>
                <w:rFonts w:hint="default" w:ascii="Times New Roman" w:hAnsi="Times New Roman" w:eastAsia="宋体" w:cs="Times New Roman"/>
                <w:b/>
                <w:bCs/>
                <w:color w:val="000000"/>
                <w:kern w:val="2"/>
                <w:sz w:val="24"/>
                <w:szCs w:val="24"/>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图1  本项目水平衡图（m</w:t>
            </w:r>
            <w:r>
              <w:rPr>
                <w:rFonts w:hint="default" w:ascii="Times New Roman" w:hAnsi="Times New Roman" w:eastAsia="宋体" w:cs="Times New Roman"/>
                <w:b/>
                <w:bCs/>
                <w:color w:val="000000"/>
                <w:kern w:val="2"/>
                <w:sz w:val="24"/>
                <w:szCs w:val="24"/>
                <w:highlight w:val="none"/>
                <w:vertAlign w:val="superscript"/>
                <w:lang w:val="en-US" w:eastAsia="zh-CN" w:bidi="ar-SA"/>
              </w:rPr>
              <w:t>3</w:t>
            </w:r>
            <w:r>
              <w:rPr>
                <w:rFonts w:hint="default" w:ascii="Times New Roman" w:hAnsi="Times New Roman" w:eastAsia="宋体" w:cs="Times New Roman"/>
                <w:b/>
                <w:bCs/>
                <w:color w:val="000000"/>
                <w:kern w:val="2"/>
                <w:sz w:val="24"/>
                <w:szCs w:val="24"/>
                <w:lang w:val="en-US" w:eastAsia="zh-CN" w:bidi="ar-SA"/>
              </w:rPr>
              <w:t>/</w:t>
            </w:r>
            <w:r>
              <w:rPr>
                <w:rFonts w:hint="eastAsia" w:ascii="Times New Roman" w:hAnsi="Times New Roman" w:eastAsia="宋体" w:cs="Times New Roman"/>
                <w:b/>
                <w:bCs/>
                <w:color w:val="000000"/>
                <w:kern w:val="2"/>
                <w:sz w:val="24"/>
                <w:szCs w:val="24"/>
                <w:lang w:val="en-US" w:eastAsia="zh-CN" w:bidi="ar-SA"/>
              </w:rPr>
              <w:t>d</w:t>
            </w:r>
            <w:r>
              <w:rPr>
                <w:rFonts w:hint="default" w:ascii="Times New Roman" w:hAnsi="Times New Roman" w:eastAsia="宋体" w:cs="Times New Roman"/>
                <w:b/>
                <w:bCs/>
                <w:color w:val="000000"/>
                <w:kern w:val="2"/>
                <w:sz w:val="24"/>
                <w:szCs w:val="24"/>
                <w:lang w:val="en-US" w:eastAsia="zh-CN" w:bidi="ar-SA"/>
              </w:rPr>
              <w:t>）</w:t>
            </w: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本项目产品主要为非膨胀性水性钢结构防火涂料和膨胀性水性钢结构防火涂料，其中非膨胀型水性钢结构防火涂料，生产工艺见图2-2；膨胀型水性钢结构防火涂料见图2-3。</w:t>
            </w:r>
          </w:p>
          <w:p>
            <w:pPr>
              <w:jc w:val="center"/>
              <w:rPr>
                <w:color w:val="auto"/>
              </w:rPr>
            </w:pPr>
            <w:r>
              <w:rPr>
                <w:color w:val="auto"/>
              </w:rPr>
              <w:drawing>
                <wp:inline distT="0" distB="0" distL="114300" distR="114300">
                  <wp:extent cx="3825240" cy="882650"/>
                  <wp:effectExtent l="0" t="0" r="3810" b="12700"/>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9"/>
                          <a:stretch>
                            <a:fillRect/>
                          </a:stretch>
                        </pic:blipFill>
                        <pic:spPr>
                          <a:xfrm>
                            <a:off x="0" y="0"/>
                            <a:ext cx="3825240" cy="882650"/>
                          </a:xfrm>
                          <a:prstGeom prst="rect">
                            <a:avLst/>
                          </a:prstGeom>
                          <a:noFill/>
                          <a:ln>
                            <a:noFill/>
                          </a:ln>
                        </pic:spPr>
                      </pic:pic>
                    </a:graphicData>
                  </a:graphic>
                </wp:inline>
              </w:drawing>
            </w:r>
            <w:r>
              <w:rPr>
                <w:color w:val="auto"/>
              </w:rPr>
              <w:t xml:space="preserve"> </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图2  非膨胀型（厚型）水性钢结构防火涂料生产工艺流程及产污环节图</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工艺流程简述：</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投料、分散：本项目蛭石、珍珠岩、纤维等袋装原料由人工拆袋后直接倒入投料仓内，投料口长×宽尺寸为“1.2m×1.0m”，然后经密闭式提升系统输送至搅拌机内，水泥由水泥仓配套的封闭螺旋输送系统计量后送至搅拌机内，混合后开启搅拌机进行密闭搅拌。该过程会生产粉尘和噪声。</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包装：经混合搅拌后的粉状产品直接经阀口包装机进行包装，包装时出料口与袋口贴合度较好，在包装过程中基本无粉尘逸散，只在每袋物料灌装完成后袋口敞开瞬间会产生少量粉尘，包装后即为非膨胀型水性钢结构防火涂料成品，包装过程会产生粉尘和噪声。</w:t>
            </w:r>
          </w:p>
          <w:p>
            <w:pPr>
              <w:jc w:val="center"/>
              <w:rPr>
                <w:color w:val="auto"/>
              </w:rPr>
            </w:pPr>
            <w:r>
              <w:rPr>
                <w:color w:val="auto"/>
              </w:rPr>
              <w:drawing>
                <wp:inline distT="0" distB="0" distL="114300" distR="114300">
                  <wp:extent cx="3361055" cy="775970"/>
                  <wp:effectExtent l="0" t="0" r="10795" b="5080"/>
                  <wp:docPr id="4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9"/>
                          <pic:cNvPicPr>
                            <a:picLocks noChangeAspect="1"/>
                          </pic:cNvPicPr>
                        </pic:nvPicPr>
                        <pic:blipFill>
                          <a:blip r:embed="rId9"/>
                          <a:stretch>
                            <a:fillRect/>
                          </a:stretch>
                        </pic:blipFill>
                        <pic:spPr>
                          <a:xfrm>
                            <a:off x="0" y="0"/>
                            <a:ext cx="3361055" cy="775970"/>
                          </a:xfrm>
                          <a:prstGeom prst="rect">
                            <a:avLst/>
                          </a:prstGeom>
                          <a:noFill/>
                          <a:ln>
                            <a:noFill/>
                          </a:ln>
                        </pic:spPr>
                      </pic:pic>
                    </a:graphicData>
                  </a:graphic>
                </wp:inline>
              </w:drawing>
            </w:r>
            <w:r>
              <w:rPr>
                <w:color w:val="auto"/>
              </w:rPr>
              <w:t xml:space="preserve"> </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图3  膨胀型水性钢结构防火涂料生产工艺流程及产污环节图</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工艺流程简述：</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t>投料、分散</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生产膨胀型水性钢结构防火涂料时，</w:t>
            </w:r>
            <w:r>
              <w:rPr>
                <w:rFonts w:hint="default" w:ascii="Times New Roman" w:hAnsi="Times New Roman" w:eastAsia="宋体" w:cs="Times New Roman"/>
                <w:color w:val="auto"/>
                <w:sz w:val="24"/>
                <w:szCs w:val="24"/>
                <w:lang w:val="en-US" w:eastAsia="zh-CN"/>
              </w:rPr>
              <w:t>采用先</w:t>
            </w:r>
            <w:r>
              <w:rPr>
                <w:rFonts w:hint="eastAsia" w:ascii="Times New Roman" w:hAnsi="Times New Roman" w:eastAsia="宋体" w:cs="Times New Roman"/>
                <w:color w:val="auto"/>
                <w:sz w:val="24"/>
                <w:szCs w:val="24"/>
                <w:lang w:val="en-US" w:eastAsia="zh-CN"/>
              </w:rPr>
              <w:t>将</w:t>
            </w:r>
            <w:r>
              <w:rPr>
                <w:rFonts w:hint="default" w:ascii="Times New Roman" w:hAnsi="Times New Roman" w:eastAsia="宋体" w:cs="Times New Roman"/>
                <w:color w:val="auto"/>
                <w:sz w:val="24"/>
                <w:szCs w:val="24"/>
                <w:lang w:val="en-US" w:eastAsia="zh-CN"/>
              </w:rPr>
              <w:t>自来水</w:t>
            </w:r>
            <w:r>
              <w:rPr>
                <w:rFonts w:hint="eastAsia" w:ascii="Times New Roman" w:hAnsi="Times New Roman" w:eastAsia="宋体" w:cs="Times New Roman"/>
                <w:color w:val="auto"/>
                <w:sz w:val="24"/>
                <w:szCs w:val="24"/>
                <w:lang w:val="en-US" w:eastAsia="zh-CN"/>
              </w:rPr>
              <w:t>由泵抽至搅拌罐内，然后再将纤维棉人工倒至搅拌罐内，</w:t>
            </w:r>
            <w:r>
              <w:rPr>
                <w:rFonts w:hint="default" w:ascii="Times New Roman" w:hAnsi="Times New Roman" w:eastAsia="宋体" w:cs="Times New Roman"/>
                <w:color w:val="auto"/>
                <w:sz w:val="24"/>
                <w:szCs w:val="24"/>
                <w:lang w:val="en-US" w:eastAsia="zh-CN"/>
              </w:rPr>
              <w:t>开启</w:t>
            </w:r>
            <w:r>
              <w:rPr>
                <w:rFonts w:hint="eastAsia" w:ascii="Times New Roman" w:hAnsi="Times New Roman" w:eastAsia="宋体" w:cs="Times New Roman"/>
                <w:color w:val="auto"/>
                <w:sz w:val="24"/>
                <w:szCs w:val="24"/>
                <w:lang w:val="en-US" w:eastAsia="zh-CN"/>
              </w:rPr>
              <w:t>分散机先</w:t>
            </w:r>
            <w:r>
              <w:rPr>
                <w:rFonts w:hint="default" w:ascii="Times New Roman" w:hAnsi="Times New Roman" w:eastAsia="宋体" w:cs="Times New Roman"/>
                <w:color w:val="auto"/>
                <w:sz w:val="24"/>
                <w:szCs w:val="24"/>
                <w:lang w:val="en-US" w:eastAsia="zh-CN"/>
              </w:rPr>
              <w:t>进行</w:t>
            </w:r>
            <w:r>
              <w:rPr>
                <w:rFonts w:hint="eastAsia" w:ascii="Times New Roman" w:hAnsi="Times New Roman" w:eastAsia="宋体" w:cs="Times New Roman"/>
                <w:color w:val="auto"/>
                <w:sz w:val="24"/>
                <w:szCs w:val="24"/>
                <w:lang w:val="en-US" w:eastAsia="zh-CN"/>
              </w:rPr>
              <w:t>一次</w:t>
            </w:r>
            <w:r>
              <w:rPr>
                <w:rFonts w:hint="default" w:ascii="Times New Roman" w:hAnsi="Times New Roman" w:eastAsia="宋体" w:cs="Times New Roman"/>
                <w:color w:val="auto"/>
                <w:sz w:val="24"/>
                <w:szCs w:val="24"/>
                <w:lang w:val="en-US" w:eastAsia="zh-CN"/>
              </w:rPr>
              <w:t>搅拌</w:t>
            </w:r>
            <w:r>
              <w:rPr>
                <w:rFonts w:hint="eastAsia" w:ascii="Times New Roman" w:hAnsi="Times New Roman" w:eastAsia="宋体" w:cs="Times New Roman"/>
                <w:color w:val="auto"/>
                <w:sz w:val="24"/>
                <w:szCs w:val="24"/>
                <w:lang w:val="en-US" w:eastAsia="zh-CN"/>
              </w:rPr>
              <w:t>（加盖搅拌）</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充分搅拌后由输送泵抽至卧式搅拌机内，然后再将聚磷酸铵、钙粉、粉体胶等粉状物料，人工拆袋倒入投料斗中，投料斗长×宽尺寸为“0.6m×0.4m”，设有投料平台，投料口下方连接密闭输送装置，原料经密闭输送系统进入卧式搅拌机内进行二次搅拌，搅拌过程为密闭搅拌，搅拌过程的出气口即为上方的投料口。二次投料及二次搅拌</w:t>
            </w:r>
            <w:r>
              <w:rPr>
                <w:rFonts w:hint="default" w:ascii="Times New Roman" w:hAnsi="Times New Roman" w:eastAsia="宋体" w:cs="Times New Roman"/>
                <w:color w:val="auto"/>
                <w:sz w:val="24"/>
                <w:szCs w:val="24"/>
                <w:lang w:val="en-US" w:eastAsia="zh-CN"/>
              </w:rPr>
              <w:t>过程中产生粉尘</w:t>
            </w:r>
            <w:r>
              <w:rPr>
                <w:rFonts w:hint="eastAsia" w:ascii="Times New Roman" w:hAnsi="Times New Roman" w:eastAsia="宋体" w:cs="Times New Roman"/>
                <w:color w:val="auto"/>
                <w:sz w:val="24"/>
                <w:szCs w:val="24"/>
                <w:lang w:val="en-US" w:eastAsia="zh-CN"/>
              </w:rPr>
              <w:t>和噪声</w:t>
            </w:r>
            <w:r>
              <w:rPr>
                <w:rFonts w:hint="default" w:ascii="Times New Roman" w:hAnsi="Times New Roman" w:eastAsia="宋体" w:cs="Times New Roman"/>
                <w:color w:val="auto"/>
                <w:sz w:val="24"/>
                <w:szCs w:val="24"/>
                <w:lang w:val="en-US" w:eastAsia="zh-CN"/>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②包装</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卧式搅拌机下方设有出气口和阀门，二次搅拌完成后，直接开启阀门即可进行灌装，本项目薄型防火涂料灌装采用25kg新包装桶，灌装后人工进行压盖包装，包装后即为膨胀型水性钢结构防火涂料成品。</w:t>
            </w:r>
          </w:p>
          <w:p>
            <w:pPr>
              <w:keepNext w:val="0"/>
              <w:keepLines w:val="0"/>
              <w:pageBreakBefore w:val="0"/>
              <w:widowControl/>
              <w:kinsoku/>
              <w:wordWrap/>
              <w:overflowPunct/>
              <w:topLinePunct w:val="0"/>
              <w:autoSpaceDE/>
              <w:autoSpaceDN/>
              <w:bidi w:val="0"/>
              <w:adjustRightInd/>
              <w:snapToGrid/>
              <w:spacing w:after="0" w:line="520" w:lineRule="exact"/>
              <w:ind w:firstLine="48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sz w:val="24"/>
                <w:szCs w:val="24"/>
                <w:highlight w:val="none"/>
                <w:lang w:val="en-US" w:eastAsia="zh-CN"/>
              </w:rPr>
              <w:t>项目变动情况说明</w:t>
            </w: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highlight w:val="none"/>
                <w:lang w:val="en-US" w:eastAsia="zh-CN"/>
              </w:rPr>
              <w:t>经现场勘查，本项目</w:t>
            </w:r>
            <w:r>
              <w:rPr>
                <w:rFonts w:hint="eastAsia" w:ascii="Times New Roman" w:hAnsi="Times New Roman" w:eastAsia="宋体" w:cs="Times New Roman"/>
                <w:color w:val="auto"/>
                <w:sz w:val="24"/>
                <w:szCs w:val="24"/>
                <w:lang w:val="en-US" w:eastAsia="zh-CN"/>
              </w:rPr>
              <w:t>非膨胀型防火涂料生产线减少1条、膨胀型防火涂料生产线减少2台分散机，2个搅拌罐，2个卧式搅拌机，4个拉缸，均为二期建设内容，一期建设内容与环评一致，</w:t>
            </w:r>
            <w:r>
              <w:rPr>
                <w:rFonts w:hint="default" w:ascii="Times New Roman" w:hAnsi="Times New Roman" w:eastAsia="宋体" w:cs="Times New Roman"/>
                <w:color w:val="auto"/>
                <w:sz w:val="24"/>
                <w:szCs w:val="24"/>
                <w:lang w:val="en-US" w:eastAsia="zh-CN"/>
              </w:rPr>
              <w:t>不存在重大变动。</w:t>
            </w: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highlight w:val="none"/>
          <w:lang w:val="en-US" w:eastAsia="zh-CN"/>
        </w:rPr>
      </w:pPr>
      <w:r>
        <w:rPr>
          <w:rFonts w:hint="default" w:ascii="Times New Roman" w:hAnsi="Times New Roman" w:cs="Times New Roman" w:eastAsiaTheme="minorEastAsia"/>
          <w:b/>
          <w:color w:val="000000" w:themeColor="text1"/>
          <w:sz w:val="32"/>
          <w:szCs w:val="32"/>
          <w:highlight w:val="none"/>
          <w:lang w:val="en-US" w:eastAsia="zh-CN" w:bidi="ar-SA"/>
          <w14:textFill>
            <w14:solidFill>
              <w14:schemeClr w14:val="tx1"/>
            </w14:solidFill>
          </w14:textFill>
        </w:rPr>
        <w:t>表三</w:t>
      </w:r>
    </w:p>
    <w:tbl>
      <w:tblPr>
        <w:tblStyle w:val="1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9288" w:type="dxa"/>
            <w:vAlign w:val="center"/>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pPr>
              <w:pStyle w:val="7"/>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8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9"/>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6"/>
              <w:gridCol w:w="1454"/>
              <w:gridCol w:w="3023"/>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6"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454"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3023"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514"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66"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auto"/>
                      <w:sz w:val="21"/>
                      <w:szCs w:val="21"/>
                      <w:vertAlign w:val="baseline"/>
                      <w:lang w:val="en-US" w:eastAsia="zh-CN"/>
                    </w:rPr>
                    <w:t>非膨胀型防火涂料生产线</w:t>
                  </w:r>
                  <w:r>
                    <w:rPr>
                      <w:rFonts w:hint="default" w:ascii="Times New Roman" w:hAnsi="Times New Roman" w:cs="Times New Roman" w:eastAsiaTheme="minorEastAsia"/>
                      <w:color w:val="auto"/>
                      <w:sz w:val="21"/>
                      <w:szCs w:val="21"/>
                      <w:vertAlign w:val="baseline"/>
                      <w:lang w:val="en-US" w:eastAsia="zh-CN"/>
                    </w:rPr>
                    <w:t>废气</w:t>
                  </w:r>
                </w:p>
              </w:tc>
              <w:tc>
                <w:tcPr>
                  <w:tcW w:w="1454"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02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highlight w:val="none"/>
                      <w:lang w:val="en-US" w:eastAsia="zh-CN"/>
                    </w:rPr>
                    <w:t>袋式除尘器</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15</w:t>
                  </w:r>
                  <w:r>
                    <w:rPr>
                      <w:rFonts w:hint="default" w:ascii="Times New Roman" w:hAnsi="Times New Roman" w:eastAsia="宋体" w:cs="Times New Roman"/>
                      <w:color w:val="auto"/>
                      <w:kern w:val="0"/>
                      <w:sz w:val="21"/>
                      <w:szCs w:val="21"/>
                      <w:highlight w:val="none"/>
                      <w:lang w:val="en-US" w:eastAsia="zh-CN"/>
                    </w:rPr>
                    <w:t>m排气筒（P</w:t>
                  </w:r>
                  <w:r>
                    <w:rPr>
                      <w:rFonts w:hint="eastAsia"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val="en-US" w:eastAsia="zh-CN"/>
                    </w:rPr>
                    <w:t>）</w:t>
                  </w:r>
                </w:p>
              </w:tc>
              <w:tc>
                <w:tcPr>
                  <w:tcW w:w="1514"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66"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color w:val="auto"/>
                      <w:sz w:val="21"/>
                      <w:szCs w:val="21"/>
                      <w:vertAlign w:val="baseline"/>
                      <w:lang w:val="en-US" w:eastAsia="zh-CN"/>
                    </w:rPr>
                    <w:t>膨胀型防火涂料生产线</w:t>
                  </w:r>
                  <w:r>
                    <w:rPr>
                      <w:rFonts w:hint="default" w:ascii="Times New Roman" w:hAnsi="Times New Roman" w:cs="Times New Roman" w:eastAsiaTheme="minorEastAsia"/>
                      <w:color w:val="auto"/>
                      <w:sz w:val="21"/>
                      <w:szCs w:val="21"/>
                      <w:vertAlign w:val="baseline"/>
                      <w:lang w:val="en-US" w:eastAsia="zh-CN"/>
                    </w:rPr>
                    <w:t>废气</w:t>
                  </w:r>
                </w:p>
              </w:tc>
              <w:tc>
                <w:tcPr>
                  <w:tcW w:w="1454"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02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auto"/>
                      <w:kern w:val="0"/>
                      <w:sz w:val="21"/>
                      <w:szCs w:val="21"/>
                      <w:highlight w:val="none"/>
                      <w:lang w:val="en-US" w:eastAsia="zh-CN"/>
                    </w:rPr>
                    <w:t>袋式除尘器</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15</w:t>
                  </w:r>
                  <w:r>
                    <w:rPr>
                      <w:rFonts w:hint="default" w:ascii="Times New Roman" w:hAnsi="Times New Roman" w:eastAsia="宋体" w:cs="Times New Roman"/>
                      <w:color w:val="auto"/>
                      <w:kern w:val="0"/>
                      <w:sz w:val="21"/>
                      <w:szCs w:val="21"/>
                      <w:highlight w:val="none"/>
                      <w:lang w:val="en-US" w:eastAsia="zh-CN"/>
                    </w:rPr>
                    <w:t>m排气筒（P</w:t>
                  </w:r>
                  <w:r>
                    <w:rPr>
                      <w:rFonts w:hint="eastAsia" w:ascii="Times New Roman" w:hAnsi="Times New Roman" w:eastAsia="宋体"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lang w:val="en-US" w:eastAsia="zh-CN"/>
                    </w:rPr>
                    <w:t>）</w:t>
                  </w:r>
                </w:p>
              </w:tc>
              <w:tc>
                <w:tcPr>
                  <w:tcW w:w="1514"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66"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454"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023" w:type="dxa"/>
                  <w:vAlign w:val="center"/>
                </w:tcPr>
                <w:p>
                  <w:pPr>
                    <w:pStyle w:val="5"/>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514" w:type="dxa"/>
                  <w:vAlign w:val="center"/>
                </w:tcPr>
                <w:p>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pPr>
              <w:pStyle w:val="7"/>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生活污水</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全厂</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产生量为</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0.192m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/d（51.84m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/a）</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。主要污染</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因子为COD、BOD</w:t>
            </w:r>
            <w:r>
              <w:rPr>
                <w:rFonts w:hint="default" w:ascii="Times New Roman" w:hAnsi="Times New Roman" w:cs="Times New Roman" w:eastAsiaTheme="minorEastAsia"/>
                <w:b w:val="0"/>
                <w:bCs w:val="0"/>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4"/>
                <w:szCs w:val="24"/>
                <w:vertAlign w:val="baseli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SS、氨氮、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总磷、总氮</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，生活污水收集后</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经厂区20m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化粪池处理</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后</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排入长垣市第一污水处理厂。</w:t>
            </w:r>
          </w:p>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项目主要噪声源为分散机、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提升</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搅拌</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机、空压机等运行时产生的噪声，根据类比调查，噪声源强为7</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90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dB（A）。本项目采用隔声、消声、减振等方式治理噪声污染。</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8"/>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48"/>
              <w:gridCol w:w="2706"/>
              <w:gridCol w:w="2574"/>
              <w:gridCol w:w="263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分散机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75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搅拌</w:t>
                  </w:r>
                  <w:r>
                    <w:rPr>
                      <w:rFonts w:hint="default" w:ascii="Times New Roman" w:hAnsi="Times New Roman" w:cs="Times New Roman" w:eastAsiaTheme="minorEastAsia"/>
                      <w:sz w:val="21"/>
                      <w:szCs w:val="21"/>
                    </w:rPr>
                    <w:t>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75</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提升机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80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55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空压机</w:t>
                  </w:r>
                </w:p>
              </w:tc>
              <w:tc>
                <w:tcPr>
                  <w:tcW w:w="2574"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90</w:t>
                  </w:r>
                </w:p>
              </w:tc>
              <w:tc>
                <w:tcPr>
                  <w:tcW w:w="263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65</w:t>
                  </w:r>
                </w:p>
              </w:tc>
            </w:tr>
          </w:tbl>
          <w:p>
            <w:pPr>
              <w:pStyle w:val="7"/>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9"/>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1772"/>
              <w:gridCol w:w="1216"/>
              <w:gridCol w:w="1795"/>
              <w:gridCol w:w="3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类型</w:t>
                  </w:r>
                </w:p>
              </w:tc>
              <w:tc>
                <w:tcPr>
                  <w:tcW w:w="17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废物名称</w:t>
                  </w:r>
                </w:p>
              </w:tc>
              <w:tc>
                <w:tcPr>
                  <w:tcW w:w="12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产生量</w:t>
                  </w:r>
                </w:p>
              </w:tc>
              <w:tc>
                <w:tcPr>
                  <w:tcW w:w="1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类别</w:t>
                  </w:r>
                </w:p>
              </w:tc>
              <w:tc>
                <w:tcPr>
                  <w:tcW w:w="30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处理处置方式及去向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6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17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除尘器收尘</w:t>
                  </w:r>
                </w:p>
              </w:tc>
              <w:tc>
                <w:tcPr>
                  <w:tcW w:w="12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67.313t/a</w:t>
                  </w:r>
                </w:p>
              </w:tc>
              <w:tc>
                <w:tcPr>
                  <w:tcW w:w="1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w:t>
                  </w:r>
                </w:p>
              </w:tc>
              <w:tc>
                <w:tcPr>
                  <w:tcW w:w="30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集中收集</w:t>
                  </w:r>
                  <w:r>
                    <w:rPr>
                      <w:rFonts w:hint="eastAsia" w:ascii="Times New Roman" w:hAnsi="Times New Roman" w:cs="Times New Roman" w:eastAsiaTheme="minorEastAsia"/>
                      <w:sz w:val="21"/>
                      <w:szCs w:val="21"/>
                      <w:lang w:val="en-US" w:eastAsia="zh-CN"/>
                    </w:rPr>
                    <w:t>后定期</w:t>
                  </w:r>
                  <w:r>
                    <w:rPr>
                      <w:rFonts w:hint="default" w:ascii="Times New Roman" w:hAnsi="Times New Roman" w:cs="Times New Roman" w:eastAsiaTheme="minorEastAsia"/>
                      <w:sz w:val="21"/>
                      <w:szCs w:val="21"/>
                    </w:rPr>
                    <w:t>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26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772"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废包装袋</w:t>
                  </w:r>
                </w:p>
              </w:tc>
              <w:tc>
                <w:tcPr>
                  <w:tcW w:w="121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3.5t/a</w:t>
                  </w:r>
                </w:p>
              </w:tc>
              <w:tc>
                <w:tcPr>
                  <w:tcW w:w="1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30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035" w:type="dxa"/>
                  <w:gridSpan w:val="2"/>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生活垃圾</w:t>
                  </w:r>
                </w:p>
              </w:tc>
              <w:tc>
                <w:tcPr>
                  <w:tcW w:w="1216"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0.81t/a</w:t>
                  </w:r>
                </w:p>
              </w:tc>
              <w:tc>
                <w:tcPr>
                  <w:tcW w:w="1795"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w:t>
                  </w:r>
                </w:p>
              </w:tc>
              <w:tc>
                <w:tcPr>
                  <w:tcW w:w="3012" w:type="dxa"/>
                  <w:tcBorders>
                    <w:tl2br w:val="nil"/>
                    <w:tr2bl w:val="nil"/>
                  </w:tcBorders>
                  <w:noWrap w:val="0"/>
                  <w:vAlign w:val="center"/>
                </w:tcPr>
                <w:p>
                  <w:pPr>
                    <w:pStyle w:val="28"/>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集中收集后交由环卫部门处置</w:t>
                  </w:r>
                </w:p>
              </w:tc>
            </w:tr>
          </w:tbl>
          <w:p>
            <w:pPr>
              <w:pStyle w:val="5"/>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9288" w:type="dxa"/>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5839"/>
            <w:bookmarkStart w:id="1" w:name="_Toc27259"/>
            <w:bookmarkStart w:id="2" w:name="_Toc29747"/>
            <w:bookmarkStart w:id="3" w:name="_Toc22133"/>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非膨胀型涂料生产线废气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经</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集气装置收集后，由配套脉冲</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袋式除尘器进行处理，最终由1根15m高排气筒排放（P</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；膨胀型涂料生产线废气经集气装置收集后，由配套</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袋式除尘器进行处理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后</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，最终由1根15m高排气筒排放（P</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），本项目废气经处理后均可达标排放。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（2）废水：本项目无生产废水排放；生活污水经化粪池处理后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排入长垣市第一污水处理厂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回用于生产</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因此，本项目固废对周围环境影响较小。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你(单位) 委托</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河南秋晟环境科技有限公司</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编制的《河南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省洪杉新材料</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有限公司年产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4800吨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水性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钢结构防火</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涂料项目环境影响报告表》已收悉。依据《中华人民共和国环境保护法》和《中华人民共和国环境影响评价法》等法律法规，经审查，现批复如下:一、原则批准《河南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省洪杉新材料</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有限公司年产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4800吨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水性</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钢结构防火</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涂料项目环境影响报告表》，同意该项目在长垣市蒲北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防腐蚀及新材料产业园鄱阳湖路与汝河路交叉口向北50米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二、严格执行环保“三同时”制度，认真落实环评要求及建议，并向社会公众主动公开已经批准的环境影响报告表，并接受相关方的咨询。环评中提及的污染防治措施可以作为该项目污染治理设施设计的依据。</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三、项目产生的噪声、废水、废气、固废按照环评提出来的防治措施要求进行治理。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四、如果今后国家或我省颁布污染物排放限值的新标准，届时你公司应按新的排放标准执行。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五、项目建成后的相关环保措施、设施应与主体工程应同时投运，你单位要对环保设施运行情况进行跟踪监测，并及时开展环保设施竣工验收。该项目由市环境监察大队负责监督管理，并明确责任人，加强检查和监管。随着周围环境、政策法律法规的变化，我局有权收回所办理的审批手续。</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8"/>
        <w:tblpPr w:leftFromText="180" w:rightFromText="180" w:vertAnchor="text" w:tblpXSpec="center" w:tblpY="1"/>
        <w:tblOverlap w:val="never"/>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8" w:hRule="atLeast"/>
        </w:trPr>
        <w:tc>
          <w:tcPr>
            <w:tcW w:w="9288" w:type="dxa"/>
            <w:vAlign w:val="top"/>
          </w:tcPr>
          <w:p>
            <w:pPr>
              <w:pStyle w:val="5"/>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山东尚水检测有限公司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山东尚水检测有限公司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pPr>
              <w:pStyle w:val="4"/>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所有检测项目按国家有关规定及质控要求进行质量控制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（2）检测分析方法采用国家颁布的标准（或推荐）分析方法，检测人员经过考核并持有合格证书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，所有检测仪器均在有效检定期内，并参照有关计量检定规程定期校验和维护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pPr>
              <w:pStyle w:val="3"/>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9"/>
              <w:tblW w:w="9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1590"/>
              <w:gridCol w:w="1471"/>
              <w:gridCol w:w="1397"/>
              <w:gridCol w:w="2468"/>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91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类别</w:t>
                  </w: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项目名称</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分析方法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方法依据</w:t>
                  </w:r>
                </w:p>
              </w:tc>
              <w:tc>
                <w:tcPr>
                  <w:tcW w:w="246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仪器设备、型号及编号</w:t>
                  </w:r>
                </w:p>
              </w:tc>
              <w:tc>
                <w:tcPr>
                  <w:tcW w:w="1266"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1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有组织废气</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 xml:space="preserve"> </w:t>
                  </w: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颗粒物</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重量法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HJ 836-2017</w:t>
                  </w:r>
                </w:p>
              </w:tc>
              <w:tc>
                <w:tcPr>
                  <w:tcW w:w="246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高精度天平测量环境保证箱GTB-790L</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SSYQ-01-028</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十万分电子天平ME155DU</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SSYQ-01-180</w:t>
                  </w:r>
                </w:p>
              </w:tc>
              <w:tc>
                <w:tcPr>
                  <w:tcW w:w="1266"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1.0mg/m</w:t>
                  </w:r>
                  <w:r>
                    <w:rPr>
                      <w:rStyle w:val="40"/>
                      <w:rFonts w:hint="default" w:ascii="Times New Roman" w:hAnsi="Times New Roman" w:eastAsia="宋体" w:cs="Times New Roman"/>
                      <w:i w:val="0"/>
                      <w:color w:val="000000"/>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12"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无组织废气</w:t>
                  </w: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颗粒物</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重量法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HJ 1263-2022</w:t>
                  </w:r>
                </w:p>
              </w:tc>
              <w:tc>
                <w:tcPr>
                  <w:tcW w:w="246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高精度天平测量环境保证箱GTB-790L</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SSYQ-01-028</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十万分电子天平ME155DU</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SSYQ-01-180</w:t>
                  </w:r>
                </w:p>
              </w:tc>
              <w:tc>
                <w:tcPr>
                  <w:tcW w:w="1266"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168</w:t>
                  </w:r>
                  <w:r>
                    <w:rPr>
                      <w:rStyle w:val="40"/>
                      <w:rFonts w:hint="default" w:ascii="Times New Roman" w:hAnsi="Times New Roman" w:eastAsia="宋体" w:cs="Times New Roman"/>
                      <w:i w:val="0"/>
                      <w:color w:val="000000"/>
                      <w:kern w:val="0"/>
                      <w:sz w:val="21"/>
                      <w:szCs w:val="21"/>
                      <w:lang w:val="en-US" w:eastAsia="zh-CN" w:bidi="ar"/>
                    </w:rPr>
                    <w:t>μg/m</w:t>
                  </w:r>
                  <w:r>
                    <w:rPr>
                      <w:rStyle w:val="40"/>
                      <w:rFonts w:hint="default" w:ascii="Times New Roman" w:hAnsi="Times New Roman" w:eastAsia="宋体" w:cs="Times New Roman"/>
                      <w:i w:val="0"/>
                      <w:color w:val="000000"/>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12" w:type="dxa"/>
                  <w:vMerge w:val="restart"/>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废水</w:t>
                  </w: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化学需氧量</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重铬酸盐法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HJ 828-2017</w:t>
                  </w:r>
                </w:p>
              </w:tc>
              <w:tc>
                <w:tcPr>
                  <w:tcW w:w="246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具塞滴定管</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HX-0</w:t>
                  </w:r>
                  <w:r>
                    <w:rPr>
                      <w:rStyle w:val="40"/>
                      <w:rFonts w:hint="eastAsia" w:ascii="Times New Roman" w:hAnsi="Times New Roman" w:eastAsia="宋体" w:cs="Times New Roman"/>
                      <w:i w:val="0"/>
                      <w:color w:val="000000"/>
                      <w:kern w:val="0"/>
                      <w:sz w:val="21"/>
                      <w:szCs w:val="21"/>
                      <w:lang w:val="en-US" w:eastAsia="zh-CN" w:bidi="ar"/>
                    </w:rPr>
                    <w:t>11</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SSYQ-01-13</w:t>
                  </w:r>
                  <w:r>
                    <w:rPr>
                      <w:rStyle w:val="40"/>
                      <w:rFonts w:hint="eastAsia" w:ascii="Times New Roman" w:hAnsi="Times New Roman" w:eastAsia="宋体" w:cs="Times New Roman"/>
                      <w:i w:val="0"/>
                      <w:color w:val="000000"/>
                      <w:kern w:val="0"/>
                      <w:sz w:val="21"/>
                      <w:szCs w:val="21"/>
                      <w:lang w:val="en-US" w:eastAsia="zh-CN" w:bidi="ar"/>
                    </w:rPr>
                    <w:t>7</w:t>
                  </w:r>
                </w:p>
              </w:tc>
              <w:tc>
                <w:tcPr>
                  <w:tcW w:w="1266"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氨氮</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分光光度法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HJ 535-2009</w:t>
                  </w:r>
                </w:p>
              </w:tc>
              <w:tc>
                <w:tcPr>
                  <w:tcW w:w="246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双光束紫外可见分光光度计TU-1900</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SSYQ-01-018</w:t>
                  </w:r>
                </w:p>
              </w:tc>
              <w:tc>
                <w:tcPr>
                  <w:tcW w:w="1266"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0.025mg/L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悬浮物</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重量法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GB/T 11901-1989</w:t>
                  </w:r>
                </w:p>
              </w:tc>
              <w:tc>
                <w:tcPr>
                  <w:tcW w:w="246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万分电子天平</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ME204E</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firstLine="420" w:firstLineChars="200"/>
                    <w:jc w:val="both"/>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SSYQ-01-181</w:t>
                  </w:r>
                </w:p>
              </w:tc>
              <w:tc>
                <w:tcPr>
                  <w:tcW w:w="1266"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流量</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流速仪法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HJ/T 92-2002</w:t>
                  </w:r>
                </w:p>
              </w:tc>
              <w:tc>
                <w:tcPr>
                  <w:tcW w:w="246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旋浆式流速仪LS25-3C</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eastAsia" w:ascii="Times New Roman" w:hAnsi="Times New Roman" w:eastAsia="宋体" w:cs="Times New Roman"/>
                      <w:i w:val="0"/>
                      <w:color w:val="000000"/>
                      <w:kern w:val="0"/>
                      <w:sz w:val="21"/>
                      <w:szCs w:val="21"/>
                      <w:lang w:val="en-US" w:eastAsia="zh-CN" w:bidi="ar"/>
                    </w:rPr>
                    <w:t>SSYQ-02-050</w:t>
                  </w:r>
                </w:p>
              </w:tc>
              <w:tc>
                <w:tcPr>
                  <w:tcW w:w="1266"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五日生化需氧量</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稀释与接种法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HJ 505-2009</w:t>
                  </w:r>
                </w:p>
              </w:tc>
              <w:tc>
                <w:tcPr>
                  <w:tcW w:w="246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生化培</w:t>
                  </w:r>
                  <w:r>
                    <w:rPr>
                      <w:rStyle w:val="40"/>
                      <w:rFonts w:hint="eastAsia" w:ascii="Times New Roman" w:hAnsi="Times New Roman" w:eastAsia="宋体" w:cs="Times New Roman"/>
                      <w:i w:val="0"/>
                      <w:color w:val="000000"/>
                      <w:kern w:val="0"/>
                      <w:sz w:val="21"/>
                      <w:szCs w:val="21"/>
                      <w:lang w:val="en-US" w:eastAsia="zh-CN" w:bidi="ar"/>
                    </w:rPr>
                    <w:t>养箱</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LRH-150-B</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SSYQ-01-024</w:t>
                  </w:r>
                </w:p>
              </w:tc>
              <w:tc>
                <w:tcPr>
                  <w:tcW w:w="1266"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总氮（以N计）</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分光光度法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HJ 636-2012</w:t>
                  </w:r>
                </w:p>
              </w:tc>
              <w:tc>
                <w:tcPr>
                  <w:tcW w:w="246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双光束紫外可见分光光度计TU-1900</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SSYQ-01-018</w:t>
                  </w:r>
                </w:p>
              </w:tc>
              <w:tc>
                <w:tcPr>
                  <w:tcW w:w="1266"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0.05mg/L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2" w:type="dxa"/>
                  <w:vMerge w:val="continue"/>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p>
              </w:tc>
              <w:tc>
                <w:tcPr>
                  <w:tcW w:w="1590"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总磷（以P计）</w:t>
                  </w:r>
                </w:p>
              </w:tc>
              <w:tc>
                <w:tcPr>
                  <w:tcW w:w="1471"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分光光度法</w:t>
                  </w:r>
                </w:p>
              </w:tc>
              <w:tc>
                <w:tcPr>
                  <w:tcW w:w="1397"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GB/T 11893-1989</w:t>
                  </w:r>
                </w:p>
              </w:tc>
              <w:tc>
                <w:tcPr>
                  <w:tcW w:w="246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双光束紫外可见分光光度计TU-1900</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SSYQ-01-018</w:t>
                  </w:r>
                </w:p>
              </w:tc>
              <w:tc>
                <w:tcPr>
                  <w:tcW w:w="1266"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Style w:val="40"/>
                      <w:rFonts w:hint="default" w:ascii="Times New Roman" w:hAnsi="Times New Roman" w:eastAsia="宋体" w:cs="Times New Roman"/>
                      <w:i w:val="0"/>
                      <w:color w:val="000000"/>
                      <w:kern w:val="0"/>
                      <w:sz w:val="21"/>
                      <w:szCs w:val="21"/>
                      <w:lang w:val="en-US" w:eastAsia="zh-CN" w:bidi="ar"/>
                    </w:rPr>
                    <w:t>0.01mg/L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12"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噪声</w:t>
                  </w:r>
                </w:p>
              </w:tc>
              <w:tc>
                <w:tcPr>
                  <w:tcW w:w="1590" w:type="dxa"/>
                  <w:vAlign w:val="center"/>
                </w:tcPr>
                <w:p>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等效声级</w:t>
                  </w:r>
                </w:p>
              </w:tc>
              <w:tc>
                <w:tcPr>
                  <w:tcW w:w="2868" w:type="dxa"/>
                  <w:gridSpan w:val="2"/>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bidi="ar-SA"/>
                    </w:rPr>
                  </w:pPr>
                  <w:r>
                    <w:rPr>
                      <w:rStyle w:val="41"/>
                      <w:rFonts w:hint="default" w:ascii="Times New Roman" w:hAnsi="Times New Roman" w:eastAsia="宋体" w:cs="Times New Roman"/>
                      <w:color w:val="000000"/>
                      <w:kern w:val="0"/>
                      <w:sz w:val="21"/>
                      <w:szCs w:val="21"/>
                      <w:lang w:val="en-US" w:eastAsia="zh-CN" w:bidi="ar"/>
                    </w:rPr>
                    <w:t>工业企业厂界环境噪声排放标准</w:t>
                  </w:r>
                  <w:r>
                    <w:rPr>
                      <w:rStyle w:val="40"/>
                      <w:rFonts w:hint="default" w:ascii="Times New Roman" w:hAnsi="Times New Roman" w:eastAsia="宋体" w:cs="Times New Roman"/>
                      <w:i w:val="0"/>
                      <w:color w:val="000000"/>
                      <w:kern w:val="0"/>
                      <w:sz w:val="21"/>
                      <w:szCs w:val="21"/>
                      <w:lang w:val="en-US" w:eastAsia="zh-CN" w:bidi="ar"/>
                    </w:rPr>
                    <w:t xml:space="preserve"> GB 12348-2008</w:t>
                  </w:r>
                </w:p>
              </w:tc>
              <w:tc>
                <w:tcPr>
                  <w:tcW w:w="2468"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eastAsia" w:ascii="Times New Roman" w:hAnsi="Times New Roman" w:eastAsia="宋体" w:cs="Times New Roman"/>
                      <w:i w:val="0"/>
                      <w:color w:val="000000"/>
                      <w:kern w:val="0"/>
                      <w:sz w:val="21"/>
                      <w:szCs w:val="21"/>
                      <w:lang w:val="en-US" w:eastAsia="zh-CN" w:bidi="ar"/>
                    </w:rPr>
                  </w:pPr>
                  <w:r>
                    <w:rPr>
                      <w:rStyle w:val="41"/>
                      <w:rFonts w:hint="default" w:ascii="Times New Roman" w:hAnsi="Times New Roman" w:eastAsia="宋体" w:cs="Times New Roman"/>
                      <w:color w:val="000000"/>
                      <w:kern w:val="0"/>
                      <w:sz w:val="21"/>
                      <w:szCs w:val="21"/>
                      <w:lang w:val="en-US" w:eastAsia="zh-CN" w:bidi="ar"/>
                    </w:rPr>
                    <w:t>多功能声级计</w:t>
                  </w:r>
                  <w:r>
                    <w:rPr>
                      <w:rStyle w:val="40"/>
                      <w:rFonts w:hint="default" w:ascii="Times New Roman" w:hAnsi="Times New Roman" w:eastAsia="宋体" w:cs="Times New Roman"/>
                      <w:i w:val="0"/>
                      <w:color w:val="000000"/>
                      <w:kern w:val="0"/>
                      <w:sz w:val="21"/>
                      <w:szCs w:val="21"/>
                      <w:lang w:val="en-US" w:eastAsia="zh-CN" w:bidi="ar"/>
                    </w:rPr>
                    <w:t xml:space="preserve"> AWA</w:t>
                  </w:r>
                  <w:r>
                    <w:rPr>
                      <w:rStyle w:val="40"/>
                      <w:rFonts w:hint="eastAsia" w:ascii="Times New Roman" w:hAnsi="Times New Roman" w:eastAsia="宋体" w:cs="Times New Roman"/>
                      <w:i w:val="0"/>
                      <w:color w:val="000000"/>
                      <w:kern w:val="0"/>
                      <w:sz w:val="21"/>
                      <w:szCs w:val="21"/>
                      <w:lang w:val="en-US" w:eastAsia="zh-CN" w:bidi="ar"/>
                    </w:rPr>
                    <w:t>5688</w:t>
                  </w:r>
                </w:p>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Fonts w:hint="default" w:ascii="Times New Roman" w:hAnsi="Times New Roman" w:cs="Times New Roman" w:eastAsiaTheme="minorEastAsia"/>
                      <w:sz w:val="21"/>
                      <w:szCs w:val="21"/>
                      <w:vertAlign w:val="baseline"/>
                      <w:lang w:val="en-US" w:eastAsia="zh-CN" w:bidi="ar-SA"/>
                    </w:rPr>
                  </w:pPr>
                  <w:r>
                    <w:rPr>
                      <w:rStyle w:val="40"/>
                      <w:rFonts w:hint="eastAsia" w:ascii="Times New Roman" w:hAnsi="Times New Roman" w:eastAsia="宋体" w:cs="Times New Roman"/>
                      <w:i w:val="0"/>
                      <w:color w:val="000000"/>
                      <w:kern w:val="0"/>
                      <w:sz w:val="21"/>
                      <w:szCs w:val="21"/>
                      <w:lang w:val="en-US" w:eastAsia="zh-CN" w:bidi="ar"/>
                    </w:rPr>
                    <w:t>（DSYQ-W001-10）</w:t>
                  </w:r>
                </w:p>
              </w:tc>
              <w:tc>
                <w:tcPr>
                  <w:tcW w:w="1266" w:type="dxa"/>
                  <w:vAlign w:val="center"/>
                </w:tcPr>
                <w:p>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ind w:left="0" w:leftChars="0" w:right="0" w:rightChars="0"/>
                    <w:jc w:val="center"/>
                    <w:textAlignment w:val="center"/>
                    <w:rPr>
                      <w:rStyle w:val="40"/>
                      <w:rFonts w:hint="default" w:ascii="Times New Roman" w:hAnsi="Times New Roman" w:eastAsia="宋体" w:cs="Times New Roman"/>
                      <w:i w:val="0"/>
                      <w:color w:val="000000"/>
                      <w:kern w:val="0"/>
                      <w:sz w:val="21"/>
                      <w:szCs w:val="21"/>
                      <w:lang w:val="en-US" w:eastAsia="zh-CN" w:bidi="ar"/>
                    </w:rPr>
                  </w:pPr>
                  <w:r>
                    <w:rPr>
                      <w:rFonts w:hint="default" w:ascii="Times New Roman" w:hAnsi="Times New Roman" w:eastAsia="宋体" w:cs="Times New Roman"/>
                      <w:i w:val="0"/>
                      <w:kern w:val="0"/>
                      <w:sz w:val="21"/>
                      <w:szCs w:val="21"/>
                      <w:lang w:val="en-US" w:eastAsia="zh-CN" w:bidi="ar"/>
                    </w:rPr>
                    <w:t>/</w:t>
                  </w:r>
                </w:p>
              </w:tc>
            </w:tr>
          </w:tbl>
          <w:p>
            <w:pPr>
              <w:pStyle w:val="3"/>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default" w:ascii="宋体" w:hAnsi="宋体" w:eastAsia="宋体" w:cs="宋体"/>
                <w:b w:val="0"/>
                <w:bCs/>
                <w:sz w:val="24"/>
                <w:szCs w:val="24"/>
                <w:lang w:val="en-US" w:eastAsia="zh-CN"/>
              </w:rPr>
            </w:pPr>
          </w:p>
        </w:tc>
      </w:tr>
    </w:tbl>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8"/>
        <w:tblpPr w:leftFromText="180" w:rightFromText="180" w:vertAnchor="text" w:tblpXSpec="center" w:tblpY="1"/>
        <w:tblOverlap w:val="never"/>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9288" w:type="dxa"/>
            <w:vAlign w:val="center"/>
          </w:tcPr>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pPr>
              <w:pStyle w:val="4"/>
              <w:pageBreakBefore w:val="0"/>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2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9"/>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403"/>
              <w:gridCol w:w="1324"/>
              <w:gridCol w:w="961"/>
              <w:gridCol w:w="1007"/>
              <w:gridCol w:w="1243"/>
              <w:gridCol w:w="2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05"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p>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类别</w:t>
                  </w:r>
                </w:p>
              </w:tc>
              <w:tc>
                <w:tcPr>
                  <w:tcW w:w="140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排放源</w:t>
                  </w:r>
                </w:p>
              </w:tc>
              <w:tc>
                <w:tcPr>
                  <w:tcW w:w="2285" w:type="dxa"/>
                  <w:gridSpan w:val="2"/>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测点位</w:t>
                  </w:r>
                </w:p>
              </w:tc>
              <w:tc>
                <w:tcPr>
                  <w:tcW w:w="100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测因子</w:t>
                  </w:r>
                </w:p>
              </w:tc>
              <w:tc>
                <w:tcPr>
                  <w:tcW w:w="1243"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测频次</w:t>
                  </w:r>
                </w:p>
              </w:tc>
              <w:tc>
                <w:tcPr>
                  <w:tcW w:w="2437"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 w:hRule="atLeast"/>
              </w:trPr>
              <w:tc>
                <w:tcPr>
                  <w:tcW w:w="705" w:type="dxa"/>
                  <w:vMerge w:val="restart"/>
                  <w:tcBorders>
                    <w:top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有组织废气</w:t>
                  </w:r>
                </w:p>
              </w:tc>
              <w:tc>
                <w:tcPr>
                  <w:tcW w:w="140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cs="Times New Roman" w:eastAsiaTheme="minorEastAsia"/>
                      <w:color w:val="auto"/>
                      <w:sz w:val="21"/>
                      <w:szCs w:val="21"/>
                      <w:vertAlign w:val="baseline"/>
                      <w:lang w:val="en-US" w:eastAsia="zh-CN"/>
                    </w:rPr>
                    <w:t>非膨胀型防火涂料生产线</w:t>
                  </w:r>
                  <w:r>
                    <w:rPr>
                      <w:rFonts w:hint="default" w:ascii="Times New Roman" w:hAnsi="Times New Roman" w:cs="Times New Roman" w:eastAsiaTheme="minorEastAsia"/>
                      <w:color w:val="auto"/>
                      <w:sz w:val="21"/>
                      <w:szCs w:val="21"/>
                      <w:vertAlign w:val="baseline"/>
                      <w:lang w:val="en-US" w:eastAsia="zh-CN"/>
                    </w:rPr>
                    <w:t>废气</w:t>
                  </w:r>
                </w:p>
              </w:tc>
              <w:tc>
                <w:tcPr>
                  <w:tcW w:w="1324"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袋式除尘器</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15</w:t>
                  </w:r>
                  <w:r>
                    <w:rPr>
                      <w:rFonts w:hint="default" w:ascii="Times New Roman" w:hAnsi="Times New Roman" w:eastAsia="宋体" w:cs="Times New Roman"/>
                      <w:color w:val="auto"/>
                      <w:kern w:val="0"/>
                      <w:sz w:val="21"/>
                      <w:szCs w:val="21"/>
                      <w:highlight w:val="none"/>
                      <w:lang w:val="en-US" w:eastAsia="zh-CN"/>
                    </w:rPr>
                    <w:t>m排气筒（P</w:t>
                  </w:r>
                  <w:r>
                    <w:rPr>
                      <w:rFonts w:hint="eastAsia" w:ascii="Times New Roman" w:hAnsi="Times New Roman" w:eastAsia="宋体" w:cs="Times New Roman"/>
                      <w:color w:val="auto"/>
                      <w:kern w:val="0"/>
                      <w:sz w:val="21"/>
                      <w:szCs w:val="21"/>
                      <w:highlight w:val="none"/>
                      <w:lang w:val="en-US" w:eastAsia="zh-CN"/>
                    </w:rPr>
                    <w:t>2</w:t>
                  </w:r>
                  <w:r>
                    <w:rPr>
                      <w:rFonts w:hint="default" w:ascii="Times New Roman" w:hAnsi="Times New Roman" w:eastAsia="宋体" w:cs="Times New Roman"/>
                      <w:color w:val="auto"/>
                      <w:kern w:val="0"/>
                      <w:sz w:val="21"/>
                      <w:szCs w:val="21"/>
                      <w:highlight w:val="none"/>
                      <w:lang w:val="en-US" w:eastAsia="zh-CN"/>
                    </w:rPr>
                    <w:t>）</w:t>
                  </w:r>
                </w:p>
              </w:tc>
              <w:tc>
                <w:tcPr>
                  <w:tcW w:w="96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进口及排气筒出口</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val="en-US" w:eastAsia="zh-CN"/>
                    </w:rPr>
                    <w:t>颗粒物</w:t>
                  </w:r>
                </w:p>
              </w:tc>
              <w:tc>
                <w:tcPr>
                  <w:tcW w:w="124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2437" w:type="dxa"/>
                  <w:vMerge w:val="restart"/>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满足《涂料、油墨及胶粘剂工业大气污染物排放标准》（GB37824-2019）表2排放要求和《重污染天气重点行业应急减排措施制定技术指南》（2020年修订版）- 涂料制造企业绩效分级A级要求，同时满足《新乡市生态环境局关于进一步规范工业企业颗粒物排放限值的通知》相关排放要求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705"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c>
                <w:tcPr>
                  <w:tcW w:w="140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膨胀型防火涂料生产线</w:t>
                  </w:r>
                  <w:r>
                    <w:rPr>
                      <w:rFonts w:hint="default" w:ascii="Times New Roman" w:hAnsi="Times New Roman" w:cs="Times New Roman" w:eastAsiaTheme="minorEastAsia"/>
                      <w:color w:val="auto"/>
                      <w:sz w:val="21"/>
                      <w:szCs w:val="21"/>
                      <w:vertAlign w:val="baseline"/>
                      <w:lang w:val="en-US" w:eastAsia="zh-CN"/>
                    </w:rPr>
                    <w:t>废气</w:t>
                  </w:r>
                </w:p>
              </w:tc>
              <w:tc>
                <w:tcPr>
                  <w:tcW w:w="1324"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袋式除尘器</w:t>
                  </w:r>
                  <w:r>
                    <w:rPr>
                      <w:rFonts w:hint="default" w:ascii="Times New Roman" w:hAnsi="Times New Roman" w:eastAsia="宋体" w:cs="Times New Roman"/>
                      <w:color w:val="auto"/>
                      <w:kern w:val="0"/>
                      <w:sz w:val="21"/>
                      <w:szCs w:val="21"/>
                      <w:highlight w:val="none"/>
                      <w:lang w:val="en-US" w:eastAsia="zh-CN"/>
                    </w:rPr>
                    <w:t>+</w:t>
                  </w:r>
                  <w:r>
                    <w:rPr>
                      <w:rFonts w:hint="eastAsia" w:ascii="Times New Roman" w:hAnsi="Times New Roman" w:eastAsia="宋体" w:cs="Times New Roman"/>
                      <w:color w:val="auto"/>
                      <w:kern w:val="0"/>
                      <w:sz w:val="21"/>
                      <w:szCs w:val="21"/>
                      <w:highlight w:val="none"/>
                      <w:lang w:val="en-US" w:eastAsia="zh-CN"/>
                    </w:rPr>
                    <w:t>15</w:t>
                  </w:r>
                  <w:r>
                    <w:rPr>
                      <w:rFonts w:hint="default" w:ascii="Times New Roman" w:hAnsi="Times New Roman" w:eastAsia="宋体" w:cs="Times New Roman"/>
                      <w:color w:val="auto"/>
                      <w:kern w:val="0"/>
                      <w:sz w:val="21"/>
                      <w:szCs w:val="21"/>
                      <w:highlight w:val="none"/>
                      <w:lang w:val="en-US" w:eastAsia="zh-CN"/>
                    </w:rPr>
                    <w:t>m排气筒（P</w:t>
                  </w:r>
                  <w:r>
                    <w:rPr>
                      <w:rFonts w:hint="eastAsia" w:ascii="Times New Roman" w:hAnsi="Times New Roman" w:eastAsia="宋体" w:cs="Times New Roman"/>
                      <w:color w:val="auto"/>
                      <w:kern w:val="0"/>
                      <w:sz w:val="21"/>
                      <w:szCs w:val="21"/>
                      <w:highlight w:val="none"/>
                      <w:lang w:val="en-US" w:eastAsia="zh-CN"/>
                    </w:rPr>
                    <w:t>3</w:t>
                  </w:r>
                  <w:r>
                    <w:rPr>
                      <w:rFonts w:hint="default" w:ascii="Times New Roman" w:hAnsi="Times New Roman" w:eastAsia="宋体" w:cs="Times New Roman"/>
                      <w:color w:val="auto"/>
                      <w:kern w:val="0"/>
                      <w:sz w:val="21"/>
                      <w:szCs w:val="21"/>
                      <w:highlight w:val="none"/>
                      <w:lang w:val="en-US" w:eastAsia="zh-CN"/>
                    </w:rPr>
                    <w:t>）</w:t>
                  </w:r>
                </w:p>
              </w:tc>
              <w:tc>
                <w:tcPr>
                  <w:tcW w:w="961"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进口及排气筒出口</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颗粒物</w:t>
                  </w:r>
                </w:p>
              </w:tc>
              <w:tc>
                <w:tcPr>
                  <w:tcW w:w="124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2个周期，</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/周期</w:t>
                  </w:r>
                </w:p>
              </w:tc>
              <w:tc>
                <w:tcPr>
                  <w:tcW w:w="2437"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无组织废气</w:t>
                  </w:r>
                </w:p>
              </w:tc>
              <w:tc>
                <w:tcPr>
                  <w:tcW w:w="140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2285" w:type="dxa"/>
                  <w:gridSpan w:val="2"/>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eastAsiaTheme="minorEastAsia"/>
                      <w:color w:val="auto"/>
                      <w:sz w:val="21"/>
                      <w:szCs w:val="21"/>
                      <w:vertAlign w:val="baseline"/>
                      <w:lang w:val="en-US" w:eastAsia="zh-CN"/>
                    </w:rPr>
                    <w:t>厂界外上风向设置一个点位、下风向设置3个点位</w:t>
                  </w:r>
                </w:p>
              </w:tc>
              <w:tc>
                <w:tcPr>
                  <w:tcW w:w="1007"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highlight w:val="none"/>
                      <w:lang w:val="en-US" w:eastAsia="zh-CN"/>
                    </w:rPr>
                    <w:t>颗粒物</w:t>
                  </w:r>
                </w:p>
              </w:tc>
              <w:tc>
                <w:tcPr>
                  <w:tcW w:w="1243" w:type="dxa"/>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检测2</w:t>
                  </w:r>
                  <w:r>
                    <w:rPr>
                      <w:rFonts w:hint="default" w:ascii="Times New Roman" w:hAnsi="Times New Roman" w:cs="Times New Roman" w:eastAsiaTheme="minorEastAsia"/>
                      <w:color w:val="auto"/>
                      <w:sz w:val="21"/>
                      <w:szCs w:val="21"/>
                      <w:vertAlign w:val="baseline"/>
                      <w:lang w:val="en-US" w:eastAsia="zh-CN"/>
                    </w:rPr>
                    <w:t>天</w:t>
                  </w:r>
                  <w:r>
                    <w:rPr>
                      <w:rFonts w:hint="eastAsia" w:ascii="Times New Roman" w:hAnsi="Times New Roman" w:cs="Times New Roman" w:eastAsiaTheme="minorEastAsia"/>
                      <w:color w:val="auto"/>
                      <w:sz w:val="21"/>
                      <w:szCs w:val="21"/>
                      <w:vertAlign w:val="baseline"/>
                      <w:lang w:val="en-US" w:eastAsia="zh-CN"/>
                    </w:rPr>
                    <w:t>，</w:t>
                  </w:r>
                  <w:r>
                    <w:rPr>
                      <w:rFonts w:hint="default" w:ascii="Times New Roman" w:hAnsi="Times New Roman" w:cs="Times New Roman" w:eastAsiaTheme="minorEastAsia"/>
                      <w:color w:val="auto"/>
                      <w:sz w:val="21"/>
                      <w:szCs w:val="21"/>
                      <w:vertAlign w:val="baseline"/>
                      <w:lang w:val="en-US" w:eastAsia="zh-CN"/>
                    </w:rPr>
                    <w:t>3次</w:t>
                  </w:r>
                  <w:r>
                    <w:rPr>
                      <w:rFonts w:hint="eastAsia" w:ascii="Times New Roman" w:hAnsi="Times New Roman" w:cs="Times New Roman" w:eastAsiaTheme="minorEastAsia"/>
                      <w:color w:val="auto"/>
                      <w:sz w:val="21"/>
                      <w:szCs w:val="21"/>
                      <w:vertAlign w:val="baseline"/>
                      <w:lang w:val="en-US" w:eastAsia="zh-CN"/>
                    </w:rPr>
                    <w:t>/天</w:t>
                  </w:r>
                </w:p>
              </w:tc>
              <w:tc>
                <w:tcPr>
                  <w:tcW w:w="2437" w:type="dxa"/>
                  <w:vMerge w:val="continue"/>
                  <w:vAlign w:val="center"/>
                </w:tcPr>
                <w:p>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p>
              </w:tc>
            </w:tr>
          </w:tbl>
          <w:p>
            <w:pPr>
              <w:pStyle w:val="4"/>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水为生活废水</w:t>
            </w:r>
            <w:r>
              <w:rPr>
                <w:rFonts w:hint="eastAsia"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生活废水经化粪池处理排入长垣市第</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一</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污水处理厂，监测内容详见下表。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3  </w:t>
            </w:r>
            <w:r>
              <w:rPr>
                <w:rFonts w:hint="default" w:ascii="Times New Roman" w:hAnsi="Times New Roman" w:cs="Times New Roman" w:eastAsiaTheme="minorEastAsia"/>
                <w:b/>
                <w:bCs/>
                <w:color w:val="auto"/>
                <w:kern w:val="2"/>
                <w:sz w:val="24"/>
                <w:szCs w:val="24"/>
                <w:lang w:val="en-US" w:eastAsia="zh-CN" w:bidi="ar-SA"/>
              </w:rPr>
              <w:t xml:space="preserve"> 废水监测内容一览表</w:t>
            </w:r>
          </w:p>
          <w:tbl>
            <w:tblPr>
              <w:tblStyle w:val="19"/>
              <w:tblW w:w="9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121"/>
              <w:gridCol w:w="1761"/>
              <w:gridCol w:w="1400"/>
              <w:gridCol w:w="3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7" w:type="dxa"/>
                  <w:shd w:val="clear" w:color="auto" w:fill="auto"/>
                  <w:vAlign w:val="center"/>
                </w:tcPr>
                <w:p>
                  <w:pPr>
                    <w:pStyle w:val="37"/>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121" w:type="dxa"/>
                  <w:shd w:val="clear" w:color="auto" w:fill="auto"/>
                  <w:vAlign w:val="center"/>
                </w:tcPr>
                <w:p>
                  <w:pPr>
                    <w:pStyle w:val="37"/>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761" w:type="dxa"/>
                  <w:shd w:val="clear" w:color="auto" w:fill="auto"/>
                  <w:vAlign w:val="center"/>
                </w:tcPr>
                <w:p>
                  <w:pPr>
                    <w:pStyle w:val="37"/>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1400" w:type="dxa"/>
                  <w:shd w:val="clear" w:color="auto" w:fill="auto"/>
                  <w:vAlign w:val="center"/>
                </w:tcPr>
                <w:p>
                  <w:pPr>
                    <w:pStyle w:val="37"/>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c>
                <w:tcPr>
                  <w:tcW w:w="3179" w:type="dxa"/>
                  <w:shd w:val="clear" w:color="auto" w:fill="auto"/>
                  <w:vAlign w:val="center"/>
                </w:tcPr>
                <w:p>
                  <w:pPr>
                    <w:pStyle w:val="37"/>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7"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废水总排放口</w:t>
                  </w:r>
                </w:p>
              </w:tc>
              <w:tc>
                <w:tcPr>
                  <w:tcW w:w="112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w:t>
                  </w:r>
                </w:p>
              </w:tc>
              <w:tc>
                <w:tcPr>
                  <w:tcW w:w="1761"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COD、BOD</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、SS、NH</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-N、总磷、总氮</w:t>
                  </w:r>
                </w:p>
              </w:tc>
              <w:tc>
                <w:tcPr>
                  <w:tcW w:w="1400"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监测2天</w:t>
                  </w:r>
                </w:p>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天</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3次</w:t>
                  </w:r>
                </w:p>
              </w:tc>
              <w:tc>
                <w:tcPr>
                  <w:tcW w:w="3179" w:type="dxa"/>
                  <w:vAlign w:val="center"/>
                </w:tcPr>
                <w:p>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《污水综合排放标准》（GB8978   -1996）表4中三级标准以及长垣市第一污水处理厂进水控制指标，二者取严。</w:t>
                  </w:r>
                </w:p>
              </w:tc>
            </w:tr>
          </w:tbl>
          <w:p>
            <w:pPr>
              <w:pStyle w:val="4"/>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4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9"/>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562"/>
              <w:gridCol w:w="1410"/>
              <w:gridCol w:w="1716"/>
              <w:gridCol w:w="3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4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1562"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1410"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1716"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3224" w:type="dxa"/>
                  <w:shd w:val="clear" w:color="auto" w:fill="auto"/>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114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562"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410"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1716"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每天昼夜各1</w:t>
                  </w:r>
                  <w:r>
                    <w:rPr>
                      <w:rFonts w:hint="default" w:ascii="Times New Roman" w:hAnsi="Times New Roman" w:eastAsia="宋体" w:cs="Times New Roman"/>
                      <w:color w:val="auto"/>
                      <w:sz w:val="21"/>
                      <w:szCs w:val="21"/>
                      <w:vertAlign w:val="baseline"/>
                      <w:lang w:val="en-US" w:eastAsia="zh-CN"/>
                    </w:rPr>
                    <w:t>次</w:t>
                  </w:r>
                </w:p>
              </w:tc>
              <w:tc>
                <w:tcPr>
                  <w:tcW w:w="3224" w:type="dxa"/>
                  <w:vAlign w:val="center"/>
                </w:tcPr>
                <w:p>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pPr>
              <w:pStyle w:val="4"/>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pPr>
              <w:pStyle w:val="29"/>
              <w:pageBreakBefore w:val="0"/>
              <w:kinsoku/>
              <w:wordWrap/>
              <w:overflowPunct/>
              <w:topLinePunct w:val="0"/>
              <w:autoSpaceDE/>
              <w:autoSpaceDN/>
              <w:bidi w:val="0"/>
              <w:adjustRightInd/>
              <w:snapToGrid/>
              <w:spacing w:line="520" w:lineRule="exact"/>
              <w:ind w:left="0" w:leftChars="0" w:firstLine="0" w:firstLineChars="0"/>
              <w:textAlignment w:val="auto"/>
              <w:rPr>
                <w:rFonts w:hint="default" w:ascii="Times New Roman" w:hAnsi="Times New Roman" w:eastAsia="仿宋_GB2312" w:cs="Times New Roman"/>
                <w:color w:val="FF0000"/>
                <w:szCs w:val="21"/>
                <w:lang w:val="en-US" w:eastAsia="zh-CN"/>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88" w:type="dxa"/>
            <w:vAlign w:val="top"/>
          </w:tcPr>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pPr>
              <w:keepNext w:val="0"/>
              <w:keepLines w:val="0"/>
              <w:pageBreakBefore w:val="0"/>
              <w:widowControl/>
              <w:numPr>
                <w:ilvl w:val="0"/>
                <w:numId w:val="1"/>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8" w:hRule="atLeast"/>
          <w:jc w:val="center"/>
        </w:trPr>
        <w:tc>
          <w:tcPr>
            <w:tcW w:w="9288" w:type="dxa"/>
            <w:vAlign w:val="top"/>
          </w:tcPr>
          <w:p>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15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9"/>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1124"/>
              <w:gridCol w:w="1124"/>
              <w:gridCol w:w="1124"/>
              <w:gridCol w:w="3"/>
              <w:gridCol w:w="1121"/>
              <w:gridCol w:w="1124"/>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eastAsia="zh-CN"/>
                    </w:rPr>
                  </w:pPr>
                  <w:r>
                    <w:rPr>
                      <w:rFonts w:hint="default" w:ascii="Times New Roman" w:hAnsi="Times New Roman" w:cs="Times New Roman" w:eastAsiaTheme="minorEastAsia"/>
                      <w:sz w:val="21"/>
                      <w:szCs w:val="21"/>
                      <w:vertAlign w:val="baseline"/>
                      <w:lang w:eastAsia="zh-CN"/>
                    </w:rPr>
                    <w:t>点位名称</w:t>
                  </w:r>
                </w:p>
              </w:tc>
              <w:tc>
                <w:tcPr>
                  <w:tcW w:w="6752" w:type="dxa"/>
                  <w:gridSpan w:val="7"/>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auto"/>
                      <w:sz w:val="21"/>
                      <w:szCs w:val="21"/>
                    </w:rPr>
                    <w:t>非膨胀型防火涂料生产线</w:t>
                  </w:r>
                  <w:r>
                    <w:rPr>
                      <w:rFonts w:hint="default" w:ascii="Times New Roman" w:hAnsi="Times New Roman" w:cs="Times New Roman" w:eastAsiaTheme="minorEastAsia"/>
                      <w:kern w:val="2"/>
                      <w:sz w:val="21"/>
                      <w:szCs w:val="21"/>
                      <w:lang w:val="en-US" w:eastAsia="zh-CN" w:bidi="ar-SA"/>
                    </w:rPr>
                    <w:t>袋式除尘器+15m排气筒进</w:t>
                  </w:r>
                  <w:r>
                    <w:rPr>
                      <w:rFonts w:hint="default" w:ascii="Times New Roman" w:hAnsi="Times New Roman" w:cs="Times New Roman" w:eastAsiaTheme="minorEastAsia"/>
                      <w:color w:val="auto"/>
                      <w:sz w:val="21"/>
                      <w:szCs w:val="21"/>
                      <w:lang w:val="en-US" w:eastAsia="zh-CN"/>
                    </w:rPr>
                    <w:t>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eastAsia="zh-CN"/>
                    </w:rPr>
                  </w:pPr>
                  <w:r>
                    <w:rPr>
                      <w:rFonts w:hint="default" w:ascii="Times New Roman" w:hAnsi="Times New Roman" w:cs="Times New Roman" w:eastAsiaTheme="minorEastAsia"/>
                      <w:sz w:val="21"/>
                      <w:szCs w:val="21"/>
                    </w:rPr>
                    <mc:AlternateContent>
                      <mc:Choice Requires="wps">
                        <w:drawing>
                          <wp:anchor distT="0" distB="0" distL="114300" distR="114300" simplePos="0" relativeHeight="251675648" behindDoc="0" locked="0" layoutInCell="1" allowOverlap="1">
                            <wp:simplePos x="0" y="0"/>
                            <wp:positionH relativeFrom="column">
                              <wp:posOffset>1059180</wp:posOffset>
                            </wp:positionH>
                            <wp:positionV relativeFrom="paragraph">
                              <wp:posOffset>146050</wp:posOffset>
                            </wp:positionV>
                            <wp:extent cx="433070" cy="276225"/>
                            <wp:effectExtent l="0" t="0" r="0" b="0"/>
                            <wp:wrapNone/>
                            <wp:docPr id="35" name="文本框 3"/>
                            <wp:cNvGraphicFramePr/>
                            <a:graphic xmlns:a="http://schemas.openxmlformats.org/drawingml/2006/main">
                              <a:graphicData uri="http://schemas.microsoft.com/office/word/2010/wordprocessingShape">
                                <wps:wsp>
                                  <wps:cNvSpPr txBox="1"/>
                                  <wps:spPr>
                                    <a:xfrm>
                                      <a:off x="0" y="0"/>
                                      <a:ext cx="433070" cy="276225"/>
                                    </a:xfrm>
                                    <a:prstGeom prst="rect">
                                      <a:avLst/>
                                    </a:prstGeom>
                                    <a:noFill/>
                                    <a:ln w="9525">
                                      <a:noFill/>
                                    </a:ln>
                                    <a:effectLst/>
                                  </wps:spPr>
                                  <wps:txbx>
                                    <w:txbxContent>
                                      <w:p>
                                        <w:pPr>
                                          <w:rPr>
                                            <w:rFonts w:hint="eastAsia" w:eastAsiaTheme="minorEastAsia"/>
                                            <w:sz w:val="16"/>
                                            <w:szCs w:val="16"/>
                                            <w:lang w:eastAsia="zh-CN"/>
                                          </w:rPr>
                                        </w:pPr>
                                        <w:r>
                                          <w:rPr>
                                            <w:rFonts w:hint="eastAsia"/>
                                            <w:sz w:val="16"/>
                                            <w:szCs w:val="16"/>
                                            <w:lang w:eastAsia="zh-CN"/>
                                          </w:rPr>
                                          <w:t>频次</w:t>
                                        </w:r>
                                      </w:p>
                                    </w:txbxContent>
                                  </wps:txbx>
                                  <wps:bodyPr upright="1"/>
                                </wps:wsp>
                              </a:graphicData>
                            </a:graphic>
                          </wp:anchor>
                        </w:drawing>
                      </mc:Choice>
                      <mc:Fallback>
                        <w:pict>
                          <v:shape id="文本框 3" o:spid="_x0000_s1026" o:spt="202" type="#_x0000_t202" style="position:absolute;left:0pt;margin-left:83.4pt;margin-top:11.5pt;height:21.75pt;width:34.1pt;z-index:251675648;mso-width-relative:page;mso-height-relative:page;" filled="f" stroked="f" coordsize="21600,21600" o:gfxdata="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Ugjrr1gAAAAkBAAAPAAAAAAAAAAEAIAAAACIAAABkcnMvZG93bnJldi54bWxQSwECFAAU&#10;AAAACACHTuJAVmWDm7oBAABlAwAADgAAAAAAAAABACAAAAAlAQAAZHJzL2Uyb0RvYy54bWxQSwUG&#10;AAAAAAYABgBZAQAAUQUAAAAA&#10;">
                            <v:fill on="f" focussize="0,0"/>
                            <v:stroke on="f"/>
                            <v:imagedata o:title=""/>
                            <o:lock v:ext="edit" aspectratio="f"/>
                            <v:textbox>
                              <w:txbxContent>
                                <w:p>
                                  <w:pPr>
                                    <w:rPr>
                                      <w:rFonts w:hint="eastAsia" w:eastAsiaTheme="minorEastAsia"/>
                                      <w:sz w:val="16"/>
                                      <w:szCs w:val="16"/>
                                      <w:lang w:eastAsia="zh-CN"/>
                                    </w:rPr>
                                  </w:pPr>
                                  <w:r>
                                    <w:rPr>
                                      <w:rFonts w:hint="eastAsia"/>
                                      <w:sz w:val="16"/>
                                      <w:szCs w:val="16"/>
                                      <w:lang w:eastAsia="zh-CN"/>
                                    </w:rPr>
                                    <w:t>频次</w:t>
                                  </w:r>
                                </w:p>
                              </w:txbxContent>
                            </v:textbox>
                          </v:shape>
                        </w:pict>
                      </mc:Fallback>
                    </mc:AlternateContent>
                  </w:r>
                  <w:r>
                    <w:rPr>
                      <w:rFonts w:hint="default" w:ascii="Times New Roman" w:hAnsi="Times New Roman" w:cs="Times New Roman" w:eastAsiaTheme="minorEastAsia"/>
                      <w:sz w:val="21"/>
                      <w:szCs w:val="21"/>
                      <w:vertAlign w:val="baseline"/>
                      <w:lang w:eastAsia="zh-CN"/>
                    </w:rPr>
                    <w:t>采样时间</w:t>
                  </w:r>
                </w:p>
              </w:tc>
              <w:tc>
                <w:tcPr>
                  <w:tcW w:w="3375" w:type="dxa"/>
                  <w:gridSpan w:val="4"/>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2024.04.09</w:t>
                  </w:r>
                </w:p>
              </w:tc>
              <w:tc>
                <w:tcPr>
                  <w:tcW w:w="3377" w:type="dxa"/>
                  <w:gridSpan w:val="3"/>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2024.04.10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467" w:type="dxa"/>
                  <w:tcBorders>
                    <w:tl2br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eastAsia="zh-CN"/>
                    </w:rPr>
                  </w:pPr>
                  <w:r>
                    <w:rPr>
                      <w:rFonts w:hint="default" w:ascii="Times New Roman" w:hAnsi="Times New Roman" w:cs="Times New Roman" w:eastAsiaTheme="minorEastAsia"/>
                      <w:sz w:val="21"/>
                      <w:szCs w:val="21"/>
                    </w:rPr>
                    <mc:AlternateContent>
                      <mc:Choice Requires="wps">
                        <w:drawing>
                          <wp:anchor distT="0" distB="0" distL="114300" distR="114300" simplePos="0" relativeHeight="251676672" behindDoc="0" locked="0" layoutInCell="1" allowOverlap="1">
                            <wp:simplePos x="0" y="0"/>
                            <wp:positionH relativeFrom="column">
                              <wp:posOffset>36195</wp:posOffset>
                            </wp:positionH>
                            <wp:positionV relativeFrom="paragraph">
                              <wp:posOffset>91440</wp:posOffset>
                            </wp:positionV>
                            <wp:extent cx="683895" cy="276225"/>
                            <wp:effectExtent l="0" t="0" r="0" b="0"/>
                            <wp:wrapNone/>
                            <wp:docPr id="34" name="文本框 2"/>
                            <wp:cNvGraphicFramePr/>
                            <a:graphic xmlns:a="http://schemas.openxmlformats.org/drawingml/2006/main">
                              <a:graphicData uri="http://schemas.microsoft.com/office/word/2010/wordprocessingShape">
                                <wps:wsp>
                                  <wps:cNvSpPr txBox="1"/>
                                  <wps:spPr>
                                    <a:xfrm>
                                      <a:off x="0" y="0"/>
                                      <a:ext cx="683895" cy="276225"/>
                                    </a:xfrm>
                                    <a:prstGeom prst="rect">
                                      <a:avLst/>
                                    </a:prstGeom>
                                    <a:noFill/>
                                    <a:ln w="9525">
                                      <a:noFill/>
                                    </a:ln>
                                    <a:effectLst/>
                                  </wps:spPr>
                                  <wps:txbx>
                                    <w:txbxContent>
                                      <w:p>
                                        <w:pPr>
                                          <w:rPr>
                                            <w:rFonts w:hint="eastAsia" w:eastAsiaTheme="minorEastAsia"/>
                                            <w:sz w:val="15"/>
                                            <w:szCs w:val="15"/>
                                            <w:lang w:eastAsia="zh-CN"/>
                                          </w:rPr>
                                        </w:pPr>
                                        <w:r>
                                          <w:rPr>
                                            <w:rFonts w:hint="eastAsia"/>
                                            <w:sz w:val="15"/>
                                            <w:szCs w:val="15"/>
                                            <w:lang w:eastAsia="zh-CN"/>
                                          </w:rPr>
                                          <w:t>检测项目</w:t>
                                        </w:r>
                                      </w:p>
                                    </w:txbxContent>
                                  </wps:txbx>
                                  <wps:bodyPr upright="1"/>
                                </wps:wsp>
                              </a:graphicData>
                            </a:graphic>
                          </wp:anchor>
                        </w:drawing>
                      </mc:Choice>
                      <mc:Fallback>
                        <w:pict>
                          <v:shape id="文本框 2" o:spid="_x0000_s1026" o:spt="202" type="#_x0000_t202" style="position:absolute;left:0pt;margin-left:2.85pt;margin-top:7.2pt;height:21.75pt;width:53.85pt;z-index:251676672;mso-width-relative:page;mso-height-relative:page;" filled="f" stroked="f" coordsize="21600,21600" o:gfxdata="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rLxvXSAAAABwEAAA8AAAAAAAAAAQAgAAAAIgAAAGRycy9kb3ducmV2LnhtbFBLAQIUABQAAAAI&#10;AIdO4kDLqgi1ugEAAGUDAAAOAAAAAAAAAAEAIAAAACEBAABkcnMvZTJvRG9jLnhtbFBLBQYAAAAA&#10;BgAGAFkBAABNBQAAAAA=&#10;">
                            <v:fill on="f" focussize="0,0"/>
                            <v:stroke on="f"/>
                            <v:imagedata o:title=""/>
                            <o:lock v:ext="edit" aspectratio="f"/>
                            <v:textbox>
                              <w:txbxContent>
                                <w:p>
                                  <w:pPr>
                                    <w:rPr>
                                      <w:rFonts w:hint="eastAsia" w:eastAsiaTheme="minorEastAsia"/>
                                      <w:sz w:val="15"/>
                                      <w:szCs w:val="15"/>
                                      <w:lang w:eastAsia="zh-CN"/>
                                    </w:rPr>
                                  </w:pPr>
                                  <w:r>
                                    <w:rPr>
                                      <w:rFonts w:hint="eastAsia"/>
                                      <w:sz w:val="15"/>
                                      <w:szCs w:val="15"/>
                                      <w:lang w:eastAsia="zh-CN"/>
                                    </w:rPr>
                                    <w:t>检测项目</w:t>
                                  </w:r>
                                </w:p>
                              </w:txbxContent>
                            </v:textbox>
                          </v:shape>
                        </w:pict>
                      </mc:Fallback>
                    </mc:AlternateConten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第一次</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第二次</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第三次</w:t>
                  </w:r>
                </w:p>
              </w:tc>
              <w:tc>
                <w:tcPr>
                  <w:tcW w:w="112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第一次</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第二次</w:t>
                  </w:r>
                </w:p>
              </w:tc>
              <w:tc>
                <w:tcPr>
                  <w:tcW w:w="113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eastAsia="zh-CN"/>
                    </w:rPr>
                    <w:t>标干流量</w:t>
                  </w:r>
                  <w:r>
                    <w:rPr>
                      <w:rFonts w:hint="default" w:ascii="Times New Roman" w:hAnsi="Times New Roman" w:cs="Times New Roman" w:eastAsiaTheme="minorEastAsia"/>
                      <w:sz w:val="21"/>
                      <w:szCs w:val="21"/>
                    </w:rPr>
                    <w:t>（m</w:t>
                  </w:r>
                  <w:r>
                    <w:rPr>
                      <w:rFonts w:hint="default" w:ascii="Times New Roman" w:hAnsi="Times New Roman" w:cs="Times New Roman" w:eastAsiaTheme="minorEastAsia"/>
                      <w:sz w:val="21"/>
                      <w:szCs w:val="21"/>
                      <w:vertAlign w:val="superscript"/>
                    </w:rPr>
                    <w:t>3</w:t>
                  </w:r>
                  <w:r>
                    <w:rPr>
                      <w:rFonts w:hint="default" w:ascii="Times New Roman" w:hAnsi="Times New Roman" w:cs="Times New Roman" w:eastAsiaTheme="minorEastAsia"/>
                      <w:sz w:val="21"/>
                      <w:szCs w:val="21"/>
                    </w:rPr>
                    <w:t>/h）</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4816</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4726</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4773</w:t>
                  </w:r>
                </w:p>
              </w:tc>
              <w:tc>
                <w:tcPr>
                  <w:tcW w:w="112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4711</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4862</w:t>
                  </w:r>
                </w:p>
              </w:tc>
              <w:tc>
                <w:tcPr>
                  <w:tcW w:w="113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vertAlign w:val="baseline"/>
                      <w:lang w:val="en-US" w:eastAsia="zh-CN" w:bidi="ar-SA"/>
                    </w:rPr>
                  </w:pPr>
                  <w:r>
                    <w:rPr>
                      <w:rFonts w:hint="default" w:ascii="Times New Roman" w:hAnsi="Times New Roman" w:cs="Times New Roman" w:eastAsiaTheme="minorEastAsia"/>
                      <w:color w:val="auto"/>
                      <w:sz w:val="21"/>
                      <w:szCs w:val="21"/>
                      <w:vertAlign w:val="baseline"/>
                      <w:lang w:val="en-US" w:eastAsia="zh-CN"/>
                    </w:rPr>
                    <w:t>4717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auto"/>
                      <w:sz w:val="21"/>
                      <w:szCs w:val="21"/>
                      <w:vertAlign w:val="baseline"/>
                      <w:lang w:eastAsia="zh-CN"/>
                    </w:rPr>
                    <w:t>颗粒物实测浓度（</w:t>
                  </w:r>
                  <w:r>
                    <w:rPr>
                      <w:rFonts w:hint="default" w:ascii="Times New Roman" w:hAnsi="Times New Roman" w:cs="Times New Roman" w:eastAsiaTheme="minorEastAsia"/>
                      <w:color w:val="auto"/>
                      <w:sz w:val="21"/>
                      <w:szCs w:val="21"/>
                      <w:vertAlign w:val="baseline"/>
                      <w:lang w:val="en-US" w:eastAsia="zh-CN"/>
                    </w:rPr>
                    <w:t>mg/m³</w:t>
                  </w:r>
                  <w:r>
                    <w:rPr>
                      <w:rFonts w:hint="default" w:ascii="Times New Roman" w:hAnsi="Times New Roman" w:cs="Times New Roman" w:eastAsiaTheme="minorEastAsia"/>
                      <w:color w:val="auto"/>
                      <w:sz w:val="21"/>
                      <w:szCs w:val="21"/>
                      <w:vertAlign w:val="baseline"/>
                      <w:lang w:eastAsia="zh-CN"/>
                    </w:rPr>
                    <w:t>）</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122</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117</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106</w:t>
                  </w:r>
                </w:p>
              </w:tc>
              <w:tc>
                <w:tcPr>
                  <w:tcW w:w="112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112</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117</w:t>
                  </w:r>
                </w:p>
              </w:tc>
              <w:tc>
                <w:tcPr>
                  <w:tcW w:w="113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auto"/>
                      <w:sz w:val="21"/>
                      <w:szCs w:val="21"/>
                      <w:vertAlign w:val="baseline"/>
                      <w:lang w:eastAsia="zh-CN"/>
                    </w:rPr>
                    <w:t>颗粒物排放速率（</w:t>
                  </w:r>
                  <w:r>
                    <w:rPr>
                      <w:rFonts w:hint="default" w:ascii="Times New Roman" w:hAnsi="Times New Roman" w:cs="Times New Roman" w:eastAsiaTheme="minorEastAsia"/>
                      <w:color w:val="auto"/>
                      <w:sz w:val="21"/>
                      <w:szCs w:val="21"/>
                      <w:vertAlign w:val="baseline"/>
                      <w:lang w:val="en-US" w:eastAsia="zh-CN"/>
                    </w:rPr>
                    <w:t>kg/h</w:t>
                  </w:r>
                  <w:r>
                    <w:rPr>
                      <w:rFonts w:hint="default" w:ascii="Times New Roman" w:hAnsi="Times New Roman" w:cs="Times New Roman" w:eastAsiaTheme="minorEastAsia"/>
                      <w:color w:val="auto"/>
                      <w:sz w:val="21"/>
                      <w:szCs w:val="21"/>
                      <w:vertAlign w:val="baseline"/>
                      <w:lang w:eastAsia="zh-CN"/>
                    </w:rPr>
                    <w:t>）</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 xml:space="preserve">0.59 </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 xml:space="preserve">0.55 </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 xml:space="preserve">0.51 </w:t>
                  </w:r>
                </w:p>
              </w:tc>
              <w:tc>
                <w:tcPr>
                  <w:tcW w:w="112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 xml:space="preserve">0.53 </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 xml:space="preserve">0.57 </w:t>
                  </w:r>
                </w:p>
              </w:tc>
              <w:tc>
                <w:tcPr>
                  <w:tcW w:w="113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 xml:space="preserve">0.59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点位名称</w:t>
                  </w:r>
                </w:p>
              </w:tc>
              <w:tc>
                <w:tcPr>
                  <w:tcW w:w="6752" w:type="dxa"/>
                  <w:gridSpan w:val="7"/>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非膨胀型防火涂料生产线袋式除尘器+15m排气筒出口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eastAsia="zh-CN"/>
                    </w:rPr>
                  </w:pPr>
                  <w:r>
                    <w:rPr>
                      <w:rFonts w:hint="default" w:ascii="Times New Roman" w:hAnsi="Times New Roman" w:cs="Times New Roman" w:eastAsiaTheme="minorEastAsia"/>
                      <w:sz w:val="21"/>
                      <w:szCs w:val="21"/>
                    </w:rPr>
                    <mc:AlternateContent>
                      <mc:Choice Requires="wps">
                        <w:drawing>
                          <wp:anchor distT="0" distB="0" distL="114300" distR="114300" simplePos="0" relativeHeight="251673600" behindDoc="0" locked="0" layoutInCell="1" allowOverlap="1">
                            <wp:simplePos x="0" y="0"/>
                            <wp:positionH relativeFrom="column">
                              <wp:posOffset>1029335</wp:posOffset>
                            </wp:positionH>
                            <wp:positionV relativeFrom="paragraph">
                              <wp:posOffset>145415</wp:posOffset>
                            </wp:positionV>
                            <wp:extent cx="552450" cy="276225"/>
                            <wp:effectExtent l="0" t="0" r="0" b="0"/>
                            <wp:wrapNone/>
                            <wp:docPr id="36" name="文本框 3"/>
                            <wp:cNvGraphicFramePr/>
                            <a:graphic xmlns:a="http://schemas.openxmlformats.org/drawingml/2006/main">
                              <a:graphicData uri="http://schemas.microsoft.com/office/word/2010/wordprocessingShape">
                                <wps:wsp>
                                  <wps:cNvSpPr txBox="1"/>
                                  <wps:spPr>
                                    <a:xfrm>
                                      <a:off x="0" y="0"/>
                                      <a:ext cx="552450" cy="276225"/>
                                    </a:xfrm>
                                    <a:prstGeom prst="rect">
                                      <a:avLst/>
                                    </a:prstGeom>
                                    <a:noFill/>
                                    <a:ln w="9525">
                                      <a:noFill/>
                                    </a:ln>
                                    <a:effectLst/>
                                  </wps:spPr>
                                  <wps:txbx>
                                    <w:txbxContent>
                                      <w:p>
                                        <w:pPr>
                                          <w:rPr>
                                            <w:rFonts w:hint="eastAsia" w:eastAsiaTheme="minorEastAsia"/>
                                            <w:sz w:val="16"/>
                                            <w:szCs w:val="16"/>
                                            <w:lang w:eastAsia="zh-CN"/>
                                          </w:rPr>
                                        </w:pPr>
                                        <w:r>
                                          <w:rPr>
                                            <w:rFonts w:hint="eastAsia"/>
                                            <w:sz w:val="16"/>
                                            <w:szCs w:val="16"/>
                                            <w:lang w:eastAsia="zh-CN"/>
                                          </w:rPr>
                                          <w:t>频次</w:t>
                                        </w:r>
                                      </w:p>
                                    </w:txbxContent>
                                  </wps:txbx>
                                  <wps:bodyPr upright="1"/>
                                </wps:wsp>
                              </a:graphicData>
                            </a:graphic>
                          </wp:anchor>
                        </w:drawing>
                      </mc:Choice>
                      <mc:Fallback>
                        <w:pict>
                          <v:shape id="文本框 3" o:spid="_x0000_s1026" o:spt="202" type="#_x0000_t202" style="position:absolute;left:0pt;margin-left:81.05pt;margin-top:11.45pt;height:21.75pt;width:43.5pt;z-index:251673600;mso-width-relative:page;mso-height-relative:page;" filled="f" stroked="f" coordsize="21600,21600" o:gfxdata="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IKLmN1QAAAAkBAAAPAAAAAAAAAAEAIAAAACIAAABkcnMvZG93bnJldi54bWxQSwECFAAUAAAA&#10;CACHTuJASnvTGbgBAABlAwAADgAAAAAAAAABACAAAAAkAQAAZHJzL2Uyb0RvYy54bWxQSwUGAAAA&#10;AAYABgBZAQAATgUAAAAA&#10;">
                            <v:fill on="f" focussize="0,0"/>
                            <v:stroke on="f"/>
                            <v:imagedata o:title=""/>
                            <o:lock v:ext="edit" aspectratio="f"/>
                            <v:textbox>
                              <w:txbxContent>
                                <w:p>
                                  <w:pPr>
                                    <w:rPr>
                                      <w:rFonts w:hint="eastAsia" w:eastAsiaTheme="minorEastAsia"/>
                                      <w:sz w:val="16"/>
                                      <w:szCs w:val="16"/>
                                      <w:lang w:eastAsia="zh-CN"/>
                                    </w:rPr>
                                  </w:pPr>
                                  <w:r>
                                    <w:rPr>
                                      <w:rFonts w:hint="eastAsia"/>
                                      <w:sz w:val="16"/>
                                      <w:szCs w:val="16"/>
                                      <w:lang w:eastAsia="zh-CN"/>
                                    </w:rPr>
                                    <w:t>频次</w:t>
                                  </w:r>
                                </w:p>
                              </w:txbxContent>
                            </v:textbox>
                          </v:shape>
                        </w:pict>
                      </mc:Fallback>
                    </mc:AlternateContent>
                  </w:r>
                  <w:r>
                    <w:rPr>
                      <w:rFonts w:hint="default" w:ascii="Times New Roman" w:hAnsi="Times New Roman" w:cs="Times New Roman" w:eastAsiaTheme="minorEastAsia"/>
                      <w:sz w:val="21"/>
                      <w:szCs w:val="21"/>
                      <w:vertAlign w:val="baseline"/>
                      <w:lang w:eastAsia="zh-CN"/>
                    </w:rPr>
                    <w:t>采样时间</w:t>
                  </w:r>
                </w:p>
              </w:tc>
              <w:tc>
                <w:tcPr>
                  <w:tcW w:w="3375" w:type="dxa"/>
                  <w:gridSpan w:val="4"/>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2024.04.09</w:t>
                  </w:r>
                </w:p>
              </w:tc>
              <w:tc>
                <w:tcPr>
                  <w:tcW w:w="3377" w:type="dxa"/>
                  <w:gridSpan w:val="3"/>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2024.04.10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467" w:type="dxa"/>
                  <w:tcBorders>
                    <w:tl2br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eastAsia="zh-CN"/>
                    </w:rPr>
                  </w:pPr>
                  <w:r>
                    <w:rPr>
                      <w:rFonts w:hint="default" w:ascii="Times New Roman" w:hAnsi="Times New Roman" w:cs="Times New Roman" w:eastAsiaTheme="minorEastAsia"/>
                      <w:sz w:val="21"/>
                      <w:szCs w:val="21"/>
                    </w:rPr>
                    <mc:AlternateContent>
                      <mc:Choice Requires="wps">
                        <w:drawing>
                          <wp:anchor distT="0" distB="0" distL="114300" distR="114300" simplePos="0" relativeHeight="251674624" behindDoc="0" locked="0" layoutInCell="1" allowOverlap="1">
                            <wp:simplePos x="0" y="0"/>
                            <wp:positionH relativeFrom="column">
                              <wp:posOffset>-135255</wp:posOffset>
                            </wp:positionH>
                            <wp:positionV relativeFrom="paragraph">
                              <wp:posOffset>2540</wp:posOffset>
                            </wp:positionV>
                            <wp:extent cx="705485" cy="276225"/>
                            <wp:effectExtent l="0" t="0" r="0" b="0"/>
                            <wp:wrapNone/>
                            <wp:docPr id="1" name="文本框 2"/>
                            <wp:cNvGraphicFramePr/>
                            <a:graphic xmlns:a="http://schemas.openxmlformats.org/drawingml/2006/main">
                              <a:graphicData uri="http://schemas.microsoft.com/office/word/2010/wordprocessingShape">
                                <wps:wsp>
                                  <wps:cNvSpPr txBox="1"/>
                                  <wps:spPr>
                                    <a:xfrm>
                                      <a:off x="0" y="0"/>
                                      <a:ext cx="705485" cy="276225"/>
                                    </a:xfrm>
                                    <a:prstGeom prst="rect">
                                      <a:avLst/>
                                    </a:prstGeom>
                                    <a:noFill/>
                                    <a:ln w="9525">
                                      <a:noFill/>
                                    </a:ln>
                                    <a:effectLst/>
                                  </wps:spPr>
                                  <wps:txbx>
                                    <w:txbxContent>
                                      <w:p>
                                        <w:pPr>
                                          <w:rPr>
                                            <w:rFonts w:hint="eastAsia" w:eastAsiaTheme="minorEastAsia"/>
                                            <w:sz w:val="16"/>
                                            <w:szCs w:val="16"/>
                                            <w:lang w:eastAsia="zh-CN"/>
                                          </w:rPr>
                                        </w:pPr>
                                        <w:r>
                                          <w:rPr>
                                            <w:rFonts w:hint="eastAsia"/>
                                            <w:sz w:val="16"/>
                                            <w:szCs w:val="16"/>
                                            <w:lang w:eastAsia="zh-CN"/>
                                          </w:rPr>
                                          <w:t>检测项目</w:t>
                                        </w:r>
                                      </w:p>
                                    </w:txbxContent>
                                  </wps:txbx>
                                  <wps:bodyPr upright="1"/>
                                </wps:wsp>
                              </a:graphicData>
                            </a:graphic>
                          </wp:anchor>
                        </w:drawing>
                      </mc:Choice>
                      <mc:Fallback>
                        <w:pict>
                          <v:shape id="文本框 2" o:spid="_x0000_s1026" o:spt="202" type="#_x0000_t202" style="position:absolute;left:0pt;margin-left:-10.65pt;margin-top:0.2pt;height:21.75pt;width:55.55pt;z-index:251674624;mso-width-relative:page;mso-height-relative:page;" filled="f" stroked="f" coordsize="21600,21600" o:gfxdata="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tsIyHUAAAABgEAAA8AAAAAAAAAAQAgAAAAIgAAAGRycy9kb3ducmV2LnhtbFBLAQIUABQAAAAI&#10;AIdO4kB2FdC2uAEAAGQDAAAOAAAAAAAAAAEAIAAAACMBAABkcnMvZTJvRG9jLnhtbFBLBQYAAAAA&#10;BgAGAFkBAABNBQAAAAA=&#10;">
                            <v:fill on="f" focussize="0,0"/>
                            <v:stroke on="f"/>
                            <v:imagedata o:title=""/>
                            <o:lock v:ext="edit" aspectratio="f"/>
                            <v:textbox>
                              <w:txbxContent>
                                <w:p>
                                  <w:pPr>
                                    <w:rPr>
                                      <w:rFonts w:hint="eastAsia" w:eastAsiaTheme="minorEastAsia"/>
                                      <w:sz w:val="16"/>
                                      <w:szCs w:val="16"/>
                                      <w:lang w:eastAsia="zh-CN"/>
                                    </w:rPr>
                                  </w:pPr>
                                  <w:r>
                                    <w:rPr>
                                      <w:rFonts w:hint="eastAsia"/>
                                      <w:sz w:val="16"/>
                                      <w:szCs w:val="16"/>
                                      <w:lang w:eastAsia="zh-CN"/>
                                    </w:rPr>
                                    <w:t>检测项目</w:t>
                                  </w:r>
                                </w:p>
                              </w:txbxContent>
                            </v:textbox>
                          </v:shape>
                        </w:pict>
                      </mc:Fallback>
                    </mc:AlternateConten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第一次</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第二次</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第三次</w:t>
                  </w:r>
                </w:p>
              </w:tc>
              <w:tc>
                <w:tcPr>
                  <w:tcW w:w="112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第一次</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第二次</w:t>
                  </w:r>
                </w:p>
              </w:tc>
              <w:tc>
                <w:tcPr>
                  <w:tcW w:w="113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eastAsia="zh-CN"/>
                    </w:rPr>
                    <w:t>标干流量</w:t>
                  </w:r>
                  <w:r>
                    <w:rPr>
                      <w:rFonts w:hint="default" w:ascii="Times New Roman" w:hAnsi="Times New Roman" w:cs="Times New Roman" w:eastAsiaTheme="minorEastAsia"/>
                      <w:sz w:val="21"/>
                      <w:szCs w:val="21"/>
                    </w:rPr>
                    <w:t>（m</w:t>
                  </w:r>
                  <w:r>
                    <w:rPr>
                      <w:rFonts w:hint="default" w:ascii="Times New Roman" w:hAnsi="Times New Roman" w:cs="Times New Roman" w:eastAsiaTheme="minorEastAsia"/>
                      <w:sz w:val="21"/>
                      <w:szCs w:val="21"/>
                      <w:vertAlign w:val="superscript"/>
                    </w:rPr>
                    <w:t>3</w:t>
                  </w:r>
                  <w:r>
                    <w:rPr>
                      <w:rFonts w:hint="default" w:ascii="Times New Roman" w:hAnsi="Times New Roman" w:cs="Times New Roman" w:eastAsiaTheme="minorEastAsia"/>
                      <w:sz w:val="21"/>
                      <w:szCs w:val="21"/>
                    </w:rPr>
                    <w:t>/h）</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4142</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4093</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4216</w:t>
                  </w:r>
                </w:p>
              </w:tc>
              <w:tc>
                <w:tcPr>
                  <w:tcW w:w="112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4107</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4057</w:t>
                  </w:r>
                </w:p>
              </w:tc>
              <w:tc>
                <w:tcPr>
                  <w:tcW w:w="113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auto"/>
                      <w:sz w:val="21"/>
                      <w:szCs w:val="21"/>
                      <w:vertAlign w:val="baseline"/>
                      <w:lang w:eastAsia="zh-CN"/>
                    </w:rPr>
                    <w:t>颗粒物实测浓度（</w:t>
                  </w:r>
                  <w:r>
                    <w:rPr>
                      <w:rFonts w:hint="default" w:ascii="Times New Roman" w:hAnsi="Times New Roman" w:cs="Times New Roman" w:eastAsiaTheme="minorEastAsia"/>
                      <w:color w:val="auto"/>
                      <w:sz w:val="21"/>
                      <w:szCs w:val="21"/>
                      <w:vertAlign w:val="baseline"/>
                      <w:lang w:val="en-US" w:eastAsia="zh-CN"/>
                    </w:rPr>
                    <w:t>mg/m³</w:t>
                  </w:r>
                  <w:r>
                    <w:rPr>
                      <w:rFonts w:hint="default" w:ascii="Times New Roman" w:hAnsi="Times New Roman" w:cs="Times New Roman" w:eastAsiaTheme="minorEastAsia"/>
                      <w:color w:val="auto"/>
                      <w:sz w:val="21"/>
                      <w:szCs w:val="21"/>
                      <w:vertAlign w:val="baseline"/>
                      <w:lang w:eastAsia="zh-CN"/>
                    </w:rPr>
                    <w:t>）</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3.5</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4.0</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3.9</w:t>
                  </w:r>
                </w:p>
              </w:tc>
              <w:tc>
                <w:tcPr>
                  <w:tcW w:w="112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3.7</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4.1</w:t>
                  </w:r>
                </w:p>
              </w:tc>
              <w:tc>
                <w:tcPr>
                  <w:tcW w:w="113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2"/>
                      <w:sz w:val="21"/>
                      <w:szCs w:val="21"/>
                      <w:lang w:val="en-US" w:eastAsia="zh-CN" w:bidi="ar-SA"/>
                    </w:rPr>
                  </w:pPr>
                  <w:r>
                    <w:rPr>
                      <w:rFonts w:hint="default" w:ascii="Times New Roman" w:hAnsi="Times New Roman" w:cs="Times New Roman" w:eastAsiaTheme="minorEastAsia"/>
                      <w:color w:val="auto"/>
                      <w:sz w:val="21"/>
                      <w:szCs w:val="21"/>
                      <w:vertAlign w:val="baseline"/>
                      <w:lang w:eastAsia="zh-CN"/>
                    </w:rPr>
                    <w:t>颗粒物排放速率（</w:t>
                  </w:r>
                  <w:r>
                    <w:rPr>
                      <w:rFonts w:hint="default" w:ascii="Times New Roman" w:hAnsi="Times New Roman" w:cs="Times New Roman" w:eastAsiaTheme="minorEastAsia"/>
                      <w:color w:val="auto"/>
                      <w:sz w:val="21"/>
                      <w:szCs w:val="21"/>
                      <w:vertAlign w:val="baseline"/>
                      <w:lang w:val="en-US" w:eastAsia="zh-CN"/>
                    </w:rPr>
                    <w:t>kg/h</w:t>
                  </w:r>
                  <w:r>
                    <w:rPr>
                      <w:rFonts w:hint="default" w:ascii="Times New Roman" w:hAnsi="Times New Roman" w:cs="Times New Roman" w:eastAsiaTheme="minorEastAsia"/>
                      <w:color w:val="auto"/>
                      <w:sz w:val="21"/>
                      <w:szCs w:val="21"/>
                      <w:vertAlign w:val="baseline"/>
                      <w:lang w:eastAsia="zh-CN"/>
                    </w:rPr>
                    <w:t>）</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0.014 </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0.016 </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0.016 </w:t>
                  </w:r>
                </w:p>
              </w:tc>
              <w:tc>
                <w:tcPr>
                  <w:tcW w:w="1124"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0.015 </w:t>
                  </w:r>
                </w:p>
              </w:tc>
              <w:tc>
                <w:tcPr>
                  <w:tcW w:w="112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0.017 </w:t>
                  </w:r>
                </w:p>
              </w:tc>
              <w:tc>
                <w:tcPr>
                  <w:tcW w:w="113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 xml:space="preserve">0.014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19" w:type="dxa"/>
                  <w:gridSpan w:val="8"/>
                  <w:vAlign w:val="center"/>
                </w:tcPr>
                <w:p>
                  <w:pPr>
                    <w:keepNext w:val="0"/>
                    <w:keepLines w:val="0"/>
                    <w:pageBreakBefore w:val="0"/>
                    <w:widowControl/>
                    <w:kinsoku/>
                    <w:wordWrap/>
                    <w:overflowPunct/>
                    <w:topLinePunct w:val="0"/>
                    <w:autoSpaceDE/>
                    <w:autoSpaceDN/>
                    <w:bidi w:val="0"/>
                    <w:adjustRightInd w:val="0"/>
                    <w:snapToGrid w:val="0"/>
                    <w:spacing w:after="0"/>
                    <w:jc w:val="both"/>
                    <w:textAlignment w:val="auto"/>
                    <w:rPr>
                      <w:rFonts w:hint="default" w:ascii="Times New Roman" w:hAnsi="Times New Roman" w:cs="Times New Roman" w:eastAsiaTheme="minorEastAsia"/>
                      <w:kern w:val="2"/>
                      <w:sz w:val="21"/>
                      <w:szCs w:val="21"/>
                      <w:vertAlign w:val="baseline"/>
                      <w:lang w:val="en-US" w:eastAsia="zh-CN" w:bidi="ar-SA"/>
                    </w:rPr>
                  </w:pPr>
                  <w:r>
                    <w:rPr>
                      <w:rFonts w:hint="default" w:ascii="Times New Roman" w:hAnsi="Times New Roman" w:cs="Times New Roman" w:eastAsiaTheme="minorEastAsia"/>
                      <w:sz w:val="21"/>
                      <w:szCs w:val="21"/>
                      <w:vertAlign w:val="baseline"/>
                      <w:lang w:eastAsia="zh-CN"/>
                    </w:rPr>
                    <w:t>备注：</w:t>
                  </w:r>
                  <w:r>
                    <w:rPr>
                      <w:rFonts w:hint="default" w:ascii="Times New Roman" w:hAnsi="Times New Roman" w:cs="Times New Roman" w:eastAsiaTheme="minorEastAsia"/>
                      <w:i w:val="0"/>
                      <w:iCs w:val="0"/>
                      <w:color w:val="000000"/>
                      <w:kern w:val="2"/>
                      <w:sz w:val="21"/>
                      <w:szCs w:val="21"/>
                      <w:u w:val="none"/>
                      <w:lang w:val="en-US" w:eastAsia="zh-CN" w:bidi="ar-SA"/>
                    </w:rPr>
                    <w:t>ND表示未检出。</w:t>
                  </w:r>
                  <w:r>
                    <w:rPr>
                      <w:rFonts w:hint="default" w:ascii="Times New Roman" w:hAnsi="Times New Roman" w:cs="Times New Roman" w:eastAsiaTheme="minorEastAsia"/>
                      <w:color w:val="auto"/>
                      <w:sz w:val="21"/>
                      <w:szCs w:val="21"/>
                    </w:rPr>
                    <w:t>非膨胀型防火涂料生产线</w:t>
                  </w:r>
                  <w:r>
                    <w:rPr>
                      <w:rFonts w:hint="default" w:ascii="Times New Roman" w:hAnsi="Times New Roman" w:cs="Times New Roman" w:eastAsiaTheme="minorEastAsia"/>
                      <w:kern w:val="2"/>
                      <w:sz w:val="21"/>
                      <w:szCs w:val="21"/>
                      <w:lang w:val="en-US" w:eastAsia="zh-CN" w:bidi="ar-SA"/>
                    </w:rPr>
                    <w:t>袋式除尘器</w:t>
                  </w:r>
                  <w:r>
                    <w:rPr>
                      <w:rFonts w:hint="default" w:ascii="Times New Roman" w:hAnsi="Times New Roman" w:cs="Times New Roman" w:eastAsiaTheme="minorEastAsia"/>
                      <w:i w:val="0"/>
                      <w:iCs w:val="0"/>
                      <w:color w:val="000000"/>
                      <w:kern w:val="2"/>
                      <w:sz w:val="21"/>
                      <w:szCs w:val="21"/>
                      <w:u w:val="none"/>
                      <w:lang w:val="en-US" w:eastAsia="zh-CN" w:bidi="ar-SA"/>
                    </w:rPr>
                    <w:t>处理效率为97.2%。</w:t>
                  </w:r>
                </w:p>
              </w:tc>
            </w:tr>
          </w:tbl>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eastAsia" w:ascii="Times New Roman" w:hAnsi="Times New Roman" w:cs="Times New Roman" w:eastAsiaTheme="minorEastAsia"/>
                <w:b/>
                <w:bCs/>
                <w:color w:val="auto"/>
                <w:kern w:val="2"/>
                <w:sz w:val="24"/>
                <w:szCs w:val="24"/>
                <w:lang w:val="en-US" w:eastAsia="zh-CN" w:bidi="ar-SA"/>
              </w:rPr>
            </w:pPr>
            <w:r>
              <w:rPr>
                <w:rFonts w:hint="eastAsia" w:ascii="Times New Roman" w:hAnsi="Times New Roman" w:cs="Times New Roman" w:eastAsiaTheme="minorEastAsia"/>
                <w:b/>
                <w:bCs/>
                <w:color w:val="auto"/>
                <w:kern w:val="2"/>
                <w:sz w:val="24"/>
                <w:szCs w:val="24"/>
                <w:lang w:val="en-US" w:eastAsia="zh-CN" w:bidi="ar-SA"/>
              </w:rPr>
              <w:t>表15  有组织废气检测结果表（续上表）</w:t>
            </w:r>
          </w:p>
          <w:tbl>
            <w:tblPr>
              <w:tblStyle w:val="19"/>
              <w:tblW w:w="9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9"/>
              <w:gridCol w:w="1106"/>
              <w:gridCol w:w="1106"/>
              <w:gridCol w:w="1106"/>
              <w:gridCol w:w="6"/>
              <w:gridCol w:w="1100"/>
              <w:gridCol w:w="1106"/>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42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点位名称</w:t>
                  </w:r>
                </w:p>
              </w:tc>
              <w:tc>
                <w:tcPr>
                  <w:tcW w:w="6650" w:type="dxa"/>
                  <w:gridSpan w:val="7"/>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膨胀型防火涂料生产线</w:t>
                  </w:r>
                  <w:r>
                    <w:rPr>
                      <w:rFonts w:hint="eastAsia" w:ascii="Times New Roman" w:hAnsi="Times New Roman" w:cs="Times New Roman" w:eastAsiaTheme="minorEastAsia"/>
                      <w:color w:val="auto"/>
                      <w:sz w:val="21"/>
                      <w:szCs w:val="21"/>
                      <w:lang w:val="en-US" w:eastAsia="zh-CN"/>
                    </w:rPr>
                    <w:t>袋式除尘器+15m排气筒进口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42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mc:AlternateContent>
                      <mc:Choice Requires="wps">
                        <w:drawing>
                          <wp:anchor distT="0" distB="0" distL="114300" distR="114300" simplePos="0" relativeHeight="251679744" behindDoc="0" locked="0" layoutInCell="1" allowOverlap="1">
                            <wp:simplePos x="0" y="0"/>
                            <wp:positionH relativeFrom="column">
                              <wp:posOffset>1021715</wp:posOffset>
                            </wp:positionH>
                            <wp:positionV relativeFrom="paragraph">
                              <wp:posOffset>153035</wp:posOffset>
                            </wp:positionV>
                            <wp:extent cx="418465" cy="231775"/>
                            <wp:effectExtent l="0" t="0" r="0" b="0"/>
                            <wp:wrapNone/>
                            <wp:docPr id="38" name="文本框 3"/>
                            <wp:cNvGraphicFramePr/>
                            <a:graphic xmlns:a="http://schemas.openxmlformats.org/drawingml/2006/main">
                              <a:graphicData uri="http://schemas.microsoft.com/office/word/2010/wordprocessingShape">
                                <wps:wsp>
                                  <wps:cNvSpPr txBox="1"/>
                                  <wps:spPr>
                                    <a:xfrm>
                                      <a:off x="0" y="0"/>
                                      <a:ext cx="418465" cy="231775"/>
                                    </a:xfrm>
                                    <a:prstGeom prst="rect">
                                      <a:avLst/>
                                    </a:prstGeom>
                                    <a:noFill/>
                                    <a:ln w="9525">
                                      <a:noFill/>
                                    </a:ln>
                                    <a:effectLst/>
                                  </wps:spPr>
                                  <wps:txbx>
                                    <w:txbxContent>
                                      <w:p>
                                        <w:pPr>
                                          <w:rPr>
                                            <w:rFonts w:hint="eastAsia" w:eastAsiaTheme="minorEastAsia"/>
                                            <w:sz w:val="16"/>
                                            <w:szCs w:val="16"/>
                                            <w:lang w:eastAsia="zh-CN"/>
                                          </w:rPr>
                                        </w:pPr>
                                        <w:r>
                                          <w:rPr>
                                            <w:rFonts w:hint="eastAsia"/>
                                            <w:sz w:val="16"/>
                                            <w:szCs w:val="16"/>
                                            <w:lang w:eastAsia="zh-CN"/>
                                          </w:rPr>
                                          <w:t>频次</w:t>
                                        </w:r>
                                      </w:p>
                                    </w:txbxContent>
                                  </wps:txbx>
                                  <wps:bodyPr upright="1"/>
                                </wps:wsp>
                              </a:graphicData>
                            </a:graphic>
                          </wp:anchor>
                        </w:drawing>
                      </mc:Choice>
                      <mc:Fallback>
                        <w:pict>
                          <v:shape id="文本框 3" o:spid="_x0000_s1026" o:spt="202" type="#_x0000_t202" style="position:absolute;left:0pt;margin-left:80.45pt;margin-top:12.05pt;height:18.25pt;width:32.95pt;z-index:251679744;mso-width-relative:page;mso-height-relative:page;" filled="f" stroked="f" coordsize="21600,21600" o:gfxdata="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4+nom9UAAAAJAQAADwAAAAAAAAABACAAAAAiAAAAZHJzL2Rvd25yZXYueG1sUEsBAhQA&#10;FAAAAAgAh07iQOupr+G8AQAAZQMAAA4AAAAAAAAAAQAgAAAAJAEAAGRycy9lMm9Eb2MueG1sUEsF&#10;BgAAAAAGAAYAWQEAAFIFAAAAAA==&#10;">
                            <v:fill on="f" focussize="0,0"/>
                            <v:stroke on="f"/>
                            <v:imagedata o:title=""/>
                            <o:lock v:ext="edit" aspectratio="f"/>
                            <v:textbox>
                              <w:txbxContent>
                                <w:p>
                                  <w:pPr>
                                    <w:rPr>
                                      <w:rFonts w:hint="eastAsia" w:eastAsiaTheme="minorEastAsia"/>
                                      <w:sz w:val="16"/>
                                      <w:szCs w:val="16"/>
                                      <w:lang w:eastAsia="zh-CN"/>
                                    </w:rPr>
                                  </w:pPr>
                                  <w:r>
                                    <w:rPr>
                                      <w:rFonts w:hint="eastAsia"/>
                                      <w:sz w:val="16"/>
                                      <w:szCs w:val="16"/>
                                      <w:lang w:eastAsia="zh-CN"/>
                                    </w:rPr>
                                    <w:t>频次</w:t>
                                  </w:r>
                                </w:p>
                              </w:txbxContent>
                            </v:textbox>
                          </v:shape>
                        </w:pict>
                      </mc:Fallback>
                    </mc:AlternateContent>
                  </w:r>
                  <w:r>
                    <w:rPr>
                      <w:rFonts w:hint="default" w:ascii="Times New Roman" w:hAnsi="Times New Roman" w:cs="Times New Roman" w:eastAsiaTheme="minorEastAsia"/>
                      <w:color w:val="auto"/>
                      <w:sz w:val="21"/>
                      <w:szCs w:val="21"/>
                      <w:lang w:eastAsia="zh-CN"/>
                    </w:rPr>
                    <w:t>采样时间</w:t>
                  </w:r>
                </w:p>
              </w:tc>
              <w:tc>
                <w:tcPr>
                  <w:tcW w:w="3324" w:type="dxa"/>
                  <w:gridSpan w:val="4"/>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2024.04.09</w:t>
                  </w:r>
                </w:p>
              </w:tc>
              <w:tc>
                <w:tcPr>
                  <w:tcW w:w="3326" w:type="dxa"/>
                  <w:gridSpan w:val="3"/>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2024.04.10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2429" w:type="dxa"/>
                  <w:tcBorders>
                    <w:tl2br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mc:AlternateContent>
                      <mc:Choice Requires="wps">
                        <w:drawing>
                          <wp:anchor distT="0" distB="0" distL="114300" distR="114300" simplePos="0" relativeHeight="251680768" behindDoc="0" locked="0" layoutInCell="1" allowOverlap="1">
                            <wp:simplePos x="0" y="0"/>
                            <wp:positionH relativeFrom="column">
                              <wp:posOffset>-120650</wp:posOffset>
                            </wp:positionH>
                            <wp:positionV relativeFrom="paragraph">
                              <wp:posOffset>39370</wp:posOffset>
                            </wp:positionV>
                            <wp:extent cx="713105" cy="276225"/>
                            <wp:effectExtent l="0" t="0" r="0" b="0"/>
                            <wp:wrapNone/>
                            <wp:docPr id="37" name="文本框 2"/>
                            <wp:cNvGraphicFramePr/>
                            <a:graphic xmlns:a="http://schemas.openxmlformats.org/drawingml/2006/main">
                              <a:graphicData uri="http://schemas.microsoft.com/office/word/2010/wordprocessingShape">
                                <wps:wsp>
                                  <wps:cNvSpPr txBox="1"/>
                                  <wps:spPr>
                                    <a:xfrm>
                                      <a:off x="0" y="0"/>
                                      <a:ext cx="713105" cy="276225"/>
                                    </a:xfrm>
                                    <a:prstGeom prst="rect">
                                      <a:avLst/>
                                    </a:prstGeom>
                                    <a:noFill/>
                                    <a:ln w="9525">
                                      <a:noFill/>
                                    </a:ln>
                                    <a:effectLst/>
                                  </wps:spPr>
                                  <wps:txbx>
                                    <w:txbxContent>
                                      <w:p>
                                        <w:pPr>
                                          <w:rPr>
                                            <w:rFonts w:hint="eastAsia" w:eastAsiaTheme="minorEastAsia"/>
                                            <w:sz w:val="16"/>
                                            <w:szCs w:val="16"/>
                                            <w:lang w:eastAsia="zh-CN"/>
                                          </w:rPr>
                                        </w:pPr>
                                        <w:r>
                                          <w:rPr>
                                            <w:rFonts w:hint="eastAsia"/>
                                            <w:sz w:val="16"/>
                                            <w:szCs w:val="16"/>
                                            <w:lang w:eastAsia="zh-CN"/>
                                          </w:rPr>
                                          <w:t>检测项目</w:t>
                                        </w:r>
                                      </w:p>
                                    </w:txbxContent>
                                  </wps:txbx>
                                  <wps:bodyPr upright="1"/>
                                </wps:wsp>
                              </a:graphicData>
                            </a:graphic>
                          </wp:anchor>
                        </w:drawing>
                      </mc:Choice>
                      <mc:Fallback>
                        <w:pict>
                          <v:shape id="文本框 2" o:spid="_x0000_s1026" o:spt="202" type="#_x0000_t202" style="position:absolute;left:0pt;margin-left:-9.5pt;margin-top:3.1pt;height:21.75pt;width:56.15pt;z-index:251680768;mso-width-relative:page;mso-height-relative:page;" filled="f" stroked="f" coordsize="21600,21600" o:gfxdata="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0EX/j1gAAAAcBAAAPAAAAAAAAAAEAIAAAACIAAABkcnMvZG93bnJldi54bWxQSwECFAAU&#10;AAAACACHTuJA4YKv1roBAABlAwAADgAAAAAAAAABACAAAAAlAQAAZHJzL2Uyb0RvYy54bWxQSwUG&#10;AAAAAAYABgBZAQAAUQUAAAAA&#10;">
                            <v:fill on="f" focussize="0,0"/>
                            <v:stroke on="f"/>
                            <v:imagedata o:title=""/>
                            <o:lock v:ext="edit" aspectratio="f"/>
                            <v:textbox>
                              <w:txbxContent>
                                <w:p>
                                  <w:pPr>
                                    <w:rPr>
                                      <w:rFonts w:hint="eastAsia" w:eastAsiaTheme="minorEastAsia"/>
                                      <w:sz w:val="16"/>
                                      <w:szCs w:val="16"/>
                                      <w:lang w:eastAsia="zh-CN"/>
                                    </w:rPr>
                                  </w:pPr>
                                  <w:r>
                                    <w:rPr>
                                      <w:rFonts w:hint="eastAsia"/>
                                      <w:sz w:val="16"/>
                                      <w:szCs w:val="16"/>
                                      <w:lang w:eastAsia="zh-CN"/>
                                    </w:rPr>
                                    <w:t>检测项目</w:t>
                                  </w:r>
                                </w:p>
                              </w:txbxContent>
                            </v:textbox>
                          </v:shape>
                        </w:pict>
                      </mc:Fallback>
                    </mc:AlternateConten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w:t>
                  </w:r>
                  <w:r>
                    <w:rPr>
                      <w:rFonts w:hint="eastAsia" w:ascii="Times New Roman" w:hAnsi="Times New Roman" w:cs="Times New Roman" w:eastAsiaTheme="minorEastAsia"/>
                      <w:color w:val="auto"/>
                      <w:sz w:val="21"/>
                      <w:szCs w:val="21"/>
                      <w:lang w:val="en-US" w:eastAsia="zh-CN"/>
                    </w:rPr>
                    <w:t>一</w:t>
                  </w:r>
                  <w:r>
                    <w:rPr>
                      <w:rFonts w:hint="default" w:ascii="Times New Roman" w:hAnsi="Times New Roman" w:cs="Times New Roman" w:eastAsiaTheme="minorEastAsia"/>
                      <w:color w:val="auto"/>
                      <w:sz w:val="21"/>
                      <w:szCs w:val="21"/>
                      <w:lang w:val="en-US" w:eastAsia="zh-CN"/>
                    </w:rPr>
                    <w:t>次</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w:t>
                  </w:r>
                  <w:r>
                    <w:rPr>
                      <w:rFonts w:hint="eastAsia" w:ascii="Times New Roman" w:hAnsi="Times New Roman" w:cs="Times New Roman" w:eastAsiaTheme="minorEastAsia"/>
                      <w:color w:val="auto"/>
                      <w:sz w:val="21"/>
                      <w:szCs w:val="21"/>
                      <w:lang w:val="en-US" w:eastAsia="zh-CN"/>
                    </w:rPr>
                    <w:t>二</w:t>
                  </w:r>
                  <w:r>
                    <w:rPr>
                      <w:rFonts w:hint="default" w:ascii="Times New Roman" w:hAnsi="Times New Roman" w:cs="Times New Roman" w:eastAsiaTheme="minorEastAsia"/>
                      <w:color w:val="auto"/>
                      <w:sz w:val="21"/>
                      <w:szCs w:val="21"/>
                      <w:lang w:val="en-US" w:eastAsia="zh-CN"/>
                    </w:rPr>
                    <w:t>次</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w:t>
                  </w:r>
                  <w:r>
                    <w:rPr>
                      <w:rFonts w:hint="eastAsia" w:ascii="Times New Roman" w:hAnsi="Times New Roman" w:cs="Times New Roman" w:eastAsiaTheme="minorEastAsia"/>
                      <w:color w:val="auto"/>
                      <w:sz w:val="21"/>
                      <w:szCs w:val="21"/>
                      <w:lang w:val="en-US" w:eastAsia="zh-CN"/>
                    </w:rPr>
                    <w:t>三</w:t>
                  </w:r>
                  <w:r>
                    <w:rPr>
                      <w:rFonts w:hint="default" w:ascii="Times New Roman" w:hAnsi="Times New Roman" w:cs="Times New Roman" w:eastAsiaTheme="minorEastAsia"/>
                      <w:color w:val="auto"/>
                      <w:sz w:val="21"/>
                      <w:szCs w:val="21"/>
                      <w:lang w:val="en-US" w:eastAsia="zh-CN"/>
                    </w:rPr>
                    <w:t>次</w:t>
                  </w:r>
                </w:p>
              </w:tc>
              <w:tc>
                <w:tcPr>
                  <w:tcW w:w="110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w:t>
                  </w:r>
                  <w:r>
                    <w:rPr>
                      <w:rFonts w:hint="eastAsia" w:ascii="Times New Roman" w:hAnsi="Times New Roman" w:cs="Times New Roman" w:eastAsiaTheme="minorEastAsia"/>
                      <w:color w:val="auto"/>
                      <w:sz w:val="21"/>
                      <w:szCs w:val="21"/>
                      <w:lang w:val="en-US" w:eastAsia="zh-CN"/>
                    </w:rPr>
                    <w:t>一</w:t>
                  </w:r>
                  <w:r>
                    <w:rPr>
                      <w:rFonts w:hint="default" w:ascii="Times New Roman" w:hAnsi="Times New Roman" w:cs="Times New Roman" w:eastAsiaTheme="minorEastAsia"/>
                      <w:color w:val="auto"/>
                      <w:sz w:val="21"/>
                      <w:szCs w:val="21"/>
                      <w:lang w:val="en-US" w:eastAsia="zh-CN"/>
                    </w:rPr>
                    <w:t>次</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w:t>
                  </w:r>
                  <w:r>
                    <w:rPr>
                      <w:rFonts w:hint="eastAsia" w:ascii="Times New Roman" w:hAnsi="Times New Roman" w:cs="Times New Roman" w:eastAsiaTheme="minorEastAsia"/>
                      <w:color w:val="auto"/>
                      <w:sz w:val="21"/>
                      <w:szCs w:val="21"/>
                      <w:lang w:val="en-US" w:eastAsia="zh-CN"/>
                    </w:rPr>
                    <w:t>二</w:t>
                  </w:r>
                  <w:r>
                    <w:rPr>
                      <w:rFonts w:hint="default" w:ascii="Times New Roman" w:hAnsi="Times New Roman" w:cs="Times New Roman" w:eastAsiaTheme="minorEastAsia"/>
                      <w:color w:val="auto"/>
                      <w:sz w:val="21"/>
                      <w:szCs w:val="21"/>
                      <w:lang w:val="en-US" w:eastAsia="zh-CN"/>
                    </w:rPr>
                    <w:t>次</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w:t>
                  </w:r>
                  <w:r>
                    <w:rPr>
                      <w:rFonts w:hint="eastAsia" w:ascii="Times New Roman" w:hAnsi="Times New Roman" w:cs="Times New Roman" w:eastAsiaTheme="minorEastAsia"/>
                      <w:color w:val="auto"/>
                      <w:sz w:val="21"/>
                      <w:szCs w:val="21"/>
                      <w:lang w:val="en-US" w:eastAsia="zh-CN"/>
                    </w:rPr>
                    <w:t>三</w:t>
                  </w:r>
                  <w:r>
                    <w:rPr>
                      <w:rFonts w:hint="default" w:ascii="Times New Roman" w:hAnsi="Times New Roman" w:cs="Times New Roman" w:eastAsiaTheme="minorEastAsia"/>
                      <w:color w:val="auto"/>
                      <w:sz w:val="21"/>
                      <w:szCs w:val="21"/>
                      <w:lang w:val="en-US" w:eastAsia="zh-C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42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标干流量</w:t>
                  </w:r>
                  <w:r>
                    <w:rPr>
                      <w:rFonts w:hint="default" w:ascii="Times New Roman" w:hAnsi="Times New Roman" w:cs="Times New Roman" w:eastAsiaTheme="minorEastAsia"/>
                      <w:color w:val="auto"/>
                      <w:sz w:val="21"/>
                      <w:szCs w:val="21"/>
                    </w:rPr>
                    <w:t>（m3/h）</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4842</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4693</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4516</w:t>
                  </w:r>
                </w:p>
              </w:tc>
              <w:tc>
                <w:tcPr>
                  <w:tcW w:w="110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4787</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4857</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42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颗粒物实测浓度（</w:t>
                  </w:r>
                  <w:r>
                    <w:rPr>
                      <w:rFonts w:hint="default" w:ascii="Times New Roman" w:hAnsi="Times New Roman" w:cs="Times New Roman" w:eastAsiaTheme="minorEastAsia"/>
                      <w:color w:val="auto"/>
                      <w:sz w:val="21"/>
                      <w:szCs w:val="21"/>
                      <w:lang w:val="en-US" w:eastAsia="zh-CN"/>
                    </w:rPr>
                    <w:t>mg/m³</w:t>
                  </w:r>
                  <w:r>
                    <w:rPr>
                      <w:rFonts w:hint="default" w:ascii="Times New Roman" w:hAnsi="Times New Roman" w:cs="Times New Roman" w:eastAsiaTheme="minorEastAsia"/>
                      <w:color w:val="auto"/>
                      <w:sz w:val="21"/>
                      <w:szCs w:val="21"/>
                      <w:lang w:eastAsia="zh-CN"/>
                    </w:rPr>
                    <w:t>）</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109</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110</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114</w:t>
                  </w:r>
                </w:p>
              </w:tc>
              <w:tc>
                <w:tcPr>
                  <w:tcW w:w="110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123</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122</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42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颗粒物排放速率（</w:t>
                  </w:r>
                  <w:r>
                    <w:rPr>
                      <w:rFonts w:hint="default" w:ascii="Times New Roman" w:hAnsi="Times New Roman" w:cs="Times New Roman" w:eastAsiaTheme="minorEastAsia"/>
                      <w:color w:val="auto"/>
                      <w:sz w:val="21"/>
                      <w:szCs w:val="21"/>
                      <w:lang w:val="en-US" w:eastAsia="zh-CN"/>
                    </w:rPr>
                    <w:t>kg/h</w:t>
                  </w:r>
                  <w:r>
                    <w:rPr>
                      <w:rFonts w:hint="default" w:ascii="Times New Roman" w:hAnsi="Times New Roman" w:cs="Times New Roman" w:eastAsiaTheme="minorEastAsia"/>
                      <w:color w:val="auto"/>
                      <w:sz w:val="21"/>
                      <w:szCs w:val="21"/>
                      <w:lang w:eastAsia="zh-CN"/>
                    </w:rPr>
                    <w:t>）</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0.53 </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0.52 </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0.51 </w:t>
                  </w:r>
                </w:p>
              </w:tc>
              <w:tc>
                <w:tcPr>
                  <w:tcW w:w="110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0.59 </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0.59 </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42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点位名称</w:t>
                  </w:r>
                </w:p>
              </w:tc>
              <w:tc>
                <w:tcPr>
                  <w:tcW w:w="6650" w:type="dxa"/>
                  <w:gridSpan w:val="7"/>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rPr>
                    <w:t>膨胀型防火涂料生产线</w:t>
                  </w:r>
                  <w:r>
                    <w:rPr>
                      <w:rFonts w:hint="eastAsia" w:ascii="Times New Roman" w:hAnsi="Times New Roman" w:cs="Times New Roman" w:eastAsiaTheme="minorEastAsia"/>
                      <w:color w:val="auto"/>
                      <w:sz w:val="21"/>
                      <w:szCs w:val="21"/>
                      <w:lang w:val="en-US" w:eastAsia="zh-CN"/>
                    </w:rPr>
                    <w:t>袋式除尘器+15m排气筒出口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42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mc:AlternateContent>
                      <mc:Choice Requires="wps">
                        <w:drawing>
                          <wp:anchor distT="0" distB="0" distL="114300" distR="114300" simplePos="0" relativeHeight="251677696" behindDoc="0" locked="0" layoutInCell="1" allowOverlap="1">
                            <wp:simplePos x="0" y="0"/>
                            <wp:positionH relativeFrom="column">
                              <wp:posOffset>969645</wp:posOffset>
                            </wp:positionH>
                            <wp:positionV relativeFrom="paragraph">
                              <wp:posOffset>116205</wp:posOffset>
                            </wp:positionV>
                            <wp:extent cx="492760" cy="276225"/>
                            <wp:effectExtent l="0" t="0" r="0" b="0"/>
                            <wp:wrapNone/>
                            <wp:docPr id="44" name="文本框 3"/>
                            <wp:cNvGraphicFramePr/>
                            <a:graphic xmlns:a="http://schemas.openxmlformats.org/drawingml/2006/main">
                              <a:graphicData uri="http://schemas.microsoft.com/office/word/2010/wordprocessingShape">
                                <wps:wsp>
                                  <wps:cNvSpPr txBox="1"/>
                                  <wps:spPr>
                                    <a:xfrm>
                                      <a:off x="0" y="0"/>
                                      <a:ext cx="492760" cy="276225"/>
                                    </a:xfrm>
                                    <a:prstGeom prst="rect">
                                      <a:avLst/>
                                    </a:prstGeom>
                                    <a:noFill/>
                                    <a:ln w="9525">
                                      <a:noFill/>
                                    </a:ln>
                                    <a:effectLst/>
                                  </wps:spPr>
                                  <wps:txbx>
                                    <w:txbxContent>
                                      <w:p>
                                        <w:pPr>
                                          <w:rPr>
                                            <w:rFonts w:hint="eastAsia" w:eastAsiaTheme="minorEastAsia"/>
                                            <w:sz w:val="16"/>
                                            <w:szCs w:val="16"/>
                                            <w:lang w:eastAsia="zh-CN"/>
                                          </w:rPr>
                                        </w:pPr>
                                        <w:r>
                                          <w:rPr>
                                            <w:rFonts w:hint="eastAsia"/>
                                            <w:sz w:val="16"/>
                                            <w:szCs w:val="16"/>
                                            <w:lang w:eastAsia="zh-CN"/>
                                          </w:rPr>
                                          <w:t>频次</w:t>
                                        </w:r>
                                      </w:p>
                                    </w:txbxContent>
                                  </wps:txbx>
                                  <wps:bodyPr upright="1"/>
                                </wps:wsp>
                              </a:graphicData>
                            </a:graphic>
                          </wp:anchor>
                        </w:drawing>
                      </mc:Choice>
                      <mc:Fallback>
                        <w:pict>
                          <v:shape id="文本框 3" o:spid="_x0000_s1026" o:spt="202" type="#_x0000_t202" style="position:absolute;left:0pt;margin-left:76.35pt;margin-top:9.15pt;height:21.75pt;width:38.8pt;z-index:251677696;mso-width-relative:page;mso-height-relative:page;" filled="f" stroked="f" coordsize="21600,21600" o:gfxdata="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BIVGdYAAAAJAQAADwAAAAAAAAABACAAAAAiAAAAZHJzL2Rvd25yZXYueG1sUEsBAhQAFAAA&#10;AAgAh07iQFU1APK4AQAAZQMAAA4AAAAAAAAAAQAgAAAAJQEAAGRycy9lMm9Eb2MueG1sUEsFBgAA&#10;AAAGAAYAWQEAAE8FAAAAAA==&#10;">
                            <v:fill on="f" focussize="0,0"/>
                            <v:stroke on="f"/>
                            <v:imagedata o:title=""/>
                            <o:lock v:ext="edit" aspectratio="f"/>
                            <v:textbox>
                              <w:txbxContent>
                                <w:p>
                                  <w:pPr>
                                    <w:rPr>
                                      <w:rFonts w:hint="eastAsia" w:eastAsiaTheme="minorEastAsia"/>
                                      <w:sz w:val="16"/>
                                      <w:szCs w:val="16"/>
                                      <w:lang w:eastAsia="zh-CN"/>
                                    </w:rPr>
                                  </w:pPr>
                                  <w:r>
                                    <w:rPr>
                                      <w:rFonts w:hint="eastAsia"/>
                                      <w:sz w:val="16"/>
                                      <w:szCs w:val="16"/>
                                      <w:lang w:eastAsia="zh-CN"/>
                                    </w:rPr>
                                    <w:t>频次</w:t>
                                  </w:r>
                                </w:p>
                              </w:txbxContent>
                            </v:textbox>
                          </v:shape>
                        </w:pict>
                      </mc:Fallback>
                    </mc:AlternateContent>
                  </w:r>
                  <w:r>
                    <w:rPr>
                      <w:rFonts w:hint="default" w:ascii="Times New Roman" w:hAnsi="Times New Roman" w:cs="Times New Roman" w:eastAsiaTheme="minorEastAsia"/>
                      <w:color w:val="auto"/>
                      <w:sz w:val="21"/>
                      <w:szCs w:val="21"/>
                      <w:lang w:eastAsia="zh-CN"/>
                    </w:rPr>
                    <w:t>采样时间</w:t>
                  </w:r>
                </w:p>
              </w:tc>
              <w:tc>
                <w:tcPr>
                  <w:tcW w:w="3324" w:type="dxa"/>
                  <w:gridSpan w:val="4"/>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2024.04.09</w:t>
                  </w:r>
                </w:p>
              </w:tc>
              <w:tc>
                <w:tcPr>
                  <w:tcW w:w="3326" w:type="dxa"/>
                  <w:gridSpan w:val="3"/>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2024.04.10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2429" w:type="dxa"/>
                  <w:tcBorders>
                    <w:tl2br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mc:AlternateContent>
                      <mc:Choice Requires="wps">
                        <w:drawing>
                          <wp:anchor distT="0" distB="0" distL="114300" distR="114300" simplePos="0" relativeHeight="251678720" behindDoc="0" locked="0" layoutInCell="1" allowOverlap="1">
                            <wp:simplePos x="0" y="0"/>
                            <wp:positionH relativeFrom="column">
                              <wp:posOffset>-97790</wp:posOffset>
                            </wp:positionH>
                            <wp:positionV relativeFrom="paragraph">
                              <wp:posOffset>2540</wp:posOffset>
                            </wp:positionV>
                            <wp:extent cx="653415" cy="276225"/>
                            <wp:effectExtent l="0" t="0" r="0" b="0"/>
                            <wp:wrapNone/>
                            <wp:docPr id="39" name="文本框 2"/>
                            <wp:cNvGraphicFramePr/>
                            <a:graphic xmlns:a="http://schemas.openxmlformats.org/drawingml/2006/main">
                              <a:graphicData uri="http://schemas.microsoft.com/office/word/2010/wordprocessingShape">
                                <wps:wsp>
                                  <wps:cNvSpPr txBox="1"/>
                                  <wps:spPr>
                                    <a:xfrm>
                                      <a:off x="0" y="0"/>
                                      <a:ext cx="653415" cy="276225"/>
                                    </a:xfrm>
                                    <a:prstGeom prst="rect">
                                      <a:avLst/>
                                    </a:prstGeom>
                                    <a:noFill/>
                                    <a:ln w="9525">
                                      <a:noFill/>
                                    </a:ln>
                                    <a:effectLst/>
                                  </wps:spPr>
                                  <wps:txbx>
                                    <w:txbxContent>
                                      <w:p>
                                        <w:pPr>
                                          <w:rPr>
                                            <w:rFonts w:hint="eastAsia" w:eastAsiaTheme="minorEastAsia"/>
                                            <w:sz w:val="16"/>
                                            <w:szCs w:val="16"/>
                                            <w:lang w:eastAsia="zh-CN"/>
                                          </w:rPr>
                                        </w:pPr>
                                        <w:r>
                                          <w:rPr>
                                            <w:rFonts w:hint="eastAsia"/>
                                            <w:sz w:val="16"/>
                                            <w:szCs w:val="16"/>
                                            <w:lang w:eastAsia="zh-CN"/>
                                          </w:rPr>
                                          <w:t>检测项目</w:t>
                                        </w:r>
                                      </w:p>
                                    </w:txbxContent>
                                  </wps:txbx>
                                  <wps:bodyPr upright="1"/>
                                </wps:wsp>
                              </a:graphicData>
                            </a:graphic>
                          </wp:anchor>
                        </w:drawing>
                      </mc:Choice>
                      <mc:Fallback>
                        <w:pict>
                          <v:shape id="文本框 2" o:spid="_x0000_s1026" o:spt="202" type="#_x0000_t202" style="position:absolute;left:0pt;margin-left:-7.7pt;margin-top:0.2pt;height:21.75pt;width:51.45pt;z-index:251678720;mso-width-relative:page;mso-height-relative:page;" filled="f" stroked="f" coordsize="21600,21600" o:gfxdata="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dfLMdQAAAAGAQAADwAAAAAAAAABACAAAAAiAAAAZHJzL2Rvd25yZXYueG1sUEsBAhQAFAAA&#10;AAgAh07iQDYbvKe6AQAAZQMAAA4AAAAAAAAAAQAgAAAAIwEAAGRycy9lMm9Eb2MueG1sUEsFBgAA&#10;AAAGAAYAWQEAAE8FAAAAAA==&#10;">
                            <v:fill on="f" focussize="0,0"/>
                            <v:stroke on="f"/>
                            <v:imagedata o:title=""/>
                            <o:lock v:ext="edit" aspectratio="f"/>
                            <v:textbox>
                              <w:txbxContent>
                                <w:p>
                                  <w:pPr>
                                    <w:rPr>
                                      <w:rFonts w:hint="eastAsia" w:eastAsiaTheme="minorEastAsia"/>
                                      <w:sz w:val="16"/>
                                      <w:szCs w:val="16"/>
                                      <w:lang w:eastAsia="zh-CN"/>
                                    </w:rPr>
                                  </w:pPr>
                                  <w:r>
                                    <w:rPr>
                                      <w:rFonts w:hint="eastAsia"/>
                                      <w:sz w:val="16"/>
                                      <w:szCs w:val="16"/>
                                      <w:lang w:eastAsia="zh-CN"/>
                                    </w:rPr>
                                    <w:t>检测项目</w:t>
                                  </w:r>
                                </w:p>
                              </w:txbxContent>
                            </v:textbox>
                          </v:shape>
                        </w:pict>
                      </mc:Fallback>
                    </mc:AlternateConten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w:t>
                  </w:r>
                  <w:r>
                    <w:rPr>
                      <w:rFonts w:hint="eastAsia" w:ascii="Times New Roman" w:hAnsi="Times New Roman" w:cs="Times New Roman" w:eastAsiaTheme="minorEastAsia"/>
                      <w:color w:val="auto"/>
                      <w:sz w:val="21"/>
                      <w:szCs w:val="21"/>
                      <w:lang w:val="en-US" w:eastAsia="zh-CN"/>
                    </w:rPr>
                    <w:t>一</w:t>
                  </w:r>
                  <w:r>
                    <w:rPr>
                      <w:rFonts w:hint="default" w:ascii="Times New Roman" w:hAnsi="Times New Roman" w:cs="Times New Roman" w:eastAsiaTheme="minorEastAsia"/>
                      <w:color w:val="auto"/>
                      <w:sz w:val="21"/>
                      <w:szCs w:val="21"/>
                      <w:lang w:val="en-US" w:eastAsia="zh-CN"/>
                    </w:rPr>
                    <w:t>次</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w:t>
                  </w:r>
                  <w:r>
                    <w:rPr>
                      <w:rFonts w:hint="eastAsia" w:ascii="Times New Roman" w:hAnsi="Times New Roman" w:cs="Times New Roman" w:eastAsiaTheme="minorEastAsia"/>
                      <w:color w:val="auto"/>
                      <w:sz w:val="21"/>
                      <w:szCs w:val="21"/>
                      <w:lang w:val="en-US" w:eastAsia="zh-CN"/>
                    </w:rPr>
                    <w:t>二</w:t>
                  </w:r>
                  <w:r>
                    <w:rPr>
                      <w:rFonts w:hint="default" w:ascii="Times New Roman" w:hAnsi="Times New Roman" w:cs="Times New Roman" w:eastAsiaTheme="minorEastAsia"/>
                      <w:color w:val="auto"/>
                      <w:sz w:val="21"/>
                      <w:szCs w:val="21"/>
                      <w:lang w:val="en-US" w:eastAsia="zh-CN"/>
                    </w:rPr>
                    <w:t>次</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w:t>
                  </w:r>
                  <w:r>
                    <w:rPr>
                      <w:rFonts w:hint="eastAsia" w:ascii="Times New Roman" w:hAnsi="Times New Roman" w:cs="Times New Roman" w:eastAsiaTheme="minorEastAsia"/>
                      <w:color w:val="auto"/>
                      <w:sz w:val="21"/>
                      <w:szCs w:val="21"/>
                      <w:lang w:val="en-US" w:eastAsia="zh-CN"/>
                    </w:rPr>
                    <w:t>三</w:t>
                  </w:r>
                  <w:r>
                    <w:rPr>
                      <w:rFonts w:hint="default" w:ascii="Times New Roman" w:hAnsi="Times New Roman" w:cs="Times New Roman" w:eastAsiaTheme="minorEastAsia"/>
                      <w:color w:val="auto"/>
                      <w:sz w:val="21"/>
                      <w:szCs w:val="21"/>
                      <w:lang w:val="en-US" w:eastAsia="zh-CN"/>
                    </w:rPr>
                    <w:t>次</w:t>
                  </w:r>
                </w:p>
              </w:tc>
              <w:tc>
                <w:tcPr>
                  <w:tcW w:w="110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w:t>
                  </w:r>
                  <w:r>
                    <w:rPr>
                      <w:rFonts w:hint="eastAsia" w:ascii="Times New Roman" w:hAnsi="Times New Roman" w:cs="Times New Roman" w:eastAsiaTheme="minorEastAsia"/>
                      <w:color w:val="auto"/>
                      <w:sz w:val="21"/>
                      <w:szCs w:val="21"/>
                      <w:lang w:val="en-US" w:eastAsia="zh-CN"/>
                    </w:rPr>
                    <w:t>一</w:t>
                  </w:r>
                  <w:r>
                    <w:rPr>
                      <w:rFonts w:hint="default" w:ascii="Times New Roman" w:hAnsi="Times New Roman" w:cs="Times New Roman" w:eastAsiaTheme="minorEastAsia"/>
                      <w:color w:val="auto"/>
                      <w:sz w:val="21"/>
                      <w:szCs w:val="21"/>
                      <w:lang w:val="en-US" w:eastAsia="zh-CN"/>
                    </w:rPr>
                    <w:t>次</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w:t>
                  </w:r>
                  <w:r>
                    <w:rPr>
                      <w:rFonts w:hint="eastAsia" w:ascii="Times New Roman" w:hAnsi="Times New Roman" w:cs="Times New Roman" w:eastAsiaTheme="minorEastAsia"/>
                      <w:color w:val="auto"/>
                      <w:sz w:val="21"/>
                      <w:szCs w:val="21"/>
                      <w:lang w:val="en-US" w:eastAsia="zh-CN"/>
                    </w:rPr>
                    <w:t>二</w:t>
                  </w:r>
                  <w:r>
                    <w:rPr>
                      <w:rFonts w:hint="default" w:ascii="Times New Roman" w:hAnsi="Times New Roman" w:cs="Times New Roman" w:eastAsiaTheme="minorEastAsia"/>
                      <w:color w:val="auto"/>
                      <w:sz w:val="21"/>
                      <w:szCs w:val="21"/>
                      <w:lang w:val="en-US" w:eastAsia="zh-CN"/>
                    </w:rPr>
                    <w:t>次</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w:t>
                  </w:r>
                  <w:r>
                    <w:rPr>
                      <w:rFonts w:hint="eastAsia" w:ascii="Times New Roman" w:hAnsi="Times New Roman" w:cs="Times New Roman" w:eastAsiaTheme="minorEastAsia"/>
                      <w:color w:val="auto"/>
                      <w:sz w:val="21"/>
                      <w:szCs w:val="21"/>
                      <w:lang w:val="en-US" w:eastAsia="zh-CN"/>
                    </w:rPr>
                    <w:t>三</w:t>
                  </w:r>
                  <w:r>
                    <w:rPr>
                      <w:rFonts w:hint="default" w:ascii="Times New Roman" w:hAnsi="Times New Roman" w:cs="Times New Roman" w:eastAsiaTheme="minorEastAsia"/>
                      <w:color w:val="auto"/>
                      <w:sz w:val="21"/>
                      <w:szCs w:val="21"/>
                      <w:lang w:val="en-US" w:eastAsia="zh-CN"/>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42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标干流量</w:t>
                  </w:r>
                  <w:r>
                    <w:rPr>
                      <w:rFonts w:hint="default" w:ascii="Times New Roman" w:hAnsi="Times New Roman" w:cs="Times New Roman" w:eastAsiaTheme="minorEastAsia"/>
                      <w:color w:val="auto"/>
                      <w:sz w:val="21"/>
                      <w:szCs w:val="21"/>
                    </w:rPr>
                    <w:t>（m3/h）</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4077</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4126</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4006</w:t>
                  </w:r>
                </w:p>
              </w:tc>
              <w:tc>
                <w:tcPr>
                  <w:tcW w:w="110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4073</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4062</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42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颗粒物实测浓度（</w:t>
                  </w:r>
                  <w:r>
                    <w:rPr>
                      <w:rFonts w:hint="default" w:ascii="Times New Roman" w:hAnsi="Times New Roman" w:cs="Times New Roman" w:eastAsiaTheme="minorEastAsia"/>
                      <w:color w:val="auto"/>
                      <w:sz w:val="21"/>
                      <w:szCs w:val="21"/>
                      <w:lang w:val="en-US" w:eastAsia="zh-CN"/>
                    </w:rPr>
                    <w:t>mg/m³</w:t>
                  </w:r>
                  <w:r>
                    <w:rPr>
                      <w:rFonts w:hint="default" w:ascii="Times New Roman" w:hAnsi="Times New Roman" w:cs="Times New Roman" w:eastAsiaTheme="minorEastAsia"/>
                      <w:color w:val="auto"/>
                      <w:sz w:val="21"/>
                      <w:szCs w:val="21"/>
                      <w:lang w:eastAsia="zh-CN"/>
                    </w:rPr>
                    <w:t>）</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3.9</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4.1</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3.6</w:t>
                  </w:r>
                </w:p>
              </w:tc>
              <w:tc>
                <w:tcPr>
                  <w:tcW w:w="110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3.7</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3.8</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42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颗粒物排放速率（</w:t>
                  </w:r>
                  <w:r>
                    <w:rPr>
                      <w:rFonts w:hint="default" w:ascii="Times New Roman" w:hAnsi="Times New Roman" w:cs="Times New Roman" w:eastAsiaTheme="minorEastAsia"/>
                      <w:color w:val="auto"/>
                      <w:sz w:val="21"/>
                      <w:szCs w:val="21"/>
                      <w:lang w:val="en-US" w:eastAsia="zh-CN"/>
                    </w:rPr>
                    <w:t>kg/h</w:t>
                  </w:r>
                  <w:r>
                    <w:rPr>
                      <w:rFonts w:hint="default" w:ascii="Times New Roman" w:hAnsi="Times New Roman" w:cs="Times New Roman" w:eastAsiaTheme="minorEastAsia"/>
                      <w:color w:val="auto"/>
                      <w:sz w:val="21"/>
                      <w:szCs w:val="21"/>
                      <w:lang w:eastAsia="zh-CN"/>
                    </w:rPr>
                    <w:t>）</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0.016 </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0.017 </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0.014 </w:t>
                  </w:r>
                </w:p>
              </w:tc>
              <w:tc>
                <w:tcPr>
                  <w:tcW w:w="1106"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0.015 </w:t>
                  </w:r>
                </w:p>
              </w:tc>
              <w:tc>
                <w:tcPr>
                  <w:tcW w:w="110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0.015 </w:t>
                  </w:r>
                </w:p>
              </w:tc>
              <w:tc>
                <w:tcPr>
                  <w:tcW w:w="112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 xml:space="preserve">0.016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9079" w:type="dxa"/>
                  <w:gridSpan w:val="8"/>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备注：</w:t>
                  </w:r>
                  <w:r>
                    <w:rPr>
                      <w:rFonts w:hint="eastAsia" w:ascii="Times New Roman" w:hAnsi="Times New Roman" w:cs="Times New Roman" w:eastAsiaTheme="minorEastAsia"/>
                      <w:color w:val="auto"/>
                      <w:sz w:val="21"/>
                      <w:szCs w:val="21"/>
                      <w:lang w:val="en-US" w:eastAsia="zh-CN"/>
                    </w:rPr>
                    <w:t>ND表示未检出。</w:t>
                  </w:r>
                  <w:r>
                    <w:rPr>
                      <w:rFonts w:hint="eastAsia" w:ascii="Times New Roman" w:hAnsi="Times New Roman" w:cs="Times New Roman" w:eastAsiaTheme="minorEastAsia"/>
                      <w:color w:val="auto"/>
                      <w:sz w:val="21"/>
                      <w:szCs w:val="21"/>
                    </w:rPr>
                    <w:t>膨胀型防火涂料生产线</w:t>
                  </w:r>
                  <w:r>
                    <w:rPr>
                      <w:rFonts w:hint="eastAsia" w:ascii="Times New Roman" w:hAnsi="Times New Roman" w:cs="Times New Roman" w:eastAsiaTheme="minorEastAsia"/>
                      <w:color w:val="auto"/>
                      <w:sz w:val="21"/>
                      <w:szCs w:val="21"/>
                      <w:lang w:val="en-US" w:eastAsia="zh-CN"/>
                    </w:rPr>
                    <w:t>袋式除尘器处理效率为96.5%。</w:t>
                  </w:r>
                </w:p>
              </w:tc>
            </w:tr>
          </w:tbl>
          <w:p>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由检测数据可知</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本项目非膨胀型防火涂料生产线颗粒物排放浓度在3.4-4.1</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之间，膨胀型防火涂料生产线颗粒物排放浓度在3.6-4.1</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之间，满足《涂料、油墨及胶粘剂工业大气污染物排放标准》（GB37824-2019）表2排放要求（20mg/m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）和《重污染天气重点行业应急减排措施制定技术指南》（2020年修订版）- 涂料制造企业绩效分级A级要求（10mg/m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），同时满足《新乡市生态环境局关于进一步规范工业企业颗粒物排放限值的通知》排放要求（10mg/m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16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8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118"/>
              <w:gridCol w:w="1377"/>
              <w:gridCol w:w="1630"/>
              <w:gridCol w:w="1630"/>
              <w:gridCol w:w="1630"/>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445" w:type="dxa"/>
                  <w:gridSpan w:val="2"/>
                  <w:vMerge w:val="restart"/>
                  <w:vAlign w:val="center"/>
                </w:tcPr>
                <w:p>
                  <w:pPr>
                    <w:widowControl/>
                    <w:jc w:val="center"/>
                    <w:rPr>
                      <w:rFonts w:ascii="Times New Roman" w:hAnsi="Times New Roman" w:cs="Times New Roman"/>
                      <w:color w:val="000000"/>
                      <w:kern w:val="0"/>
                      <w:szCs w:val="21"/>
                    </w:rPr>
                  </w:pP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-140335</wp:posOffset>
                            </wp:positionH>
                            <wp:positionV relativeFrom="paragraph">
                              <wp:posOffset>445770</wp:posOffset>
                            </wp:positionV>
                            <wp:extent cx="718185" cy="30861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718185" cy="308610"/>
                                    </a:xfrm>
                                    <a:prstGeom prst="rect">
                                      <a:avLst/>
                                    </a:prstGeom>
                                    <a:noFill/>
                                    <a:ln w="15875">
                                      <a:noFill/>
                                    </a:ln>
                                    <a:effectLst/>
                                  </wps:spPr>
                                  <wps:txbx>
                                    <w:txbxContent>
                                      <w:p>
                                        <w:r>
                                          <w:rPr>
                                            <w:rFonts w:hint="eastAsia"/>
                                            <w:sz w:val="18"/>
                                            <w:szCs w:val="21"/>
                                          </w:rPr>
                                          <w:t>采样日期</w:t>
                                        </w:r>
                                      </w:p>
                                    </w:txbxContent>
                                  </wps:txbx>
                                  <wps:bodyPr upright="1"/>
                                </wps:wsp>
                              </a:graphicData>
                            </a:graphic>
                          </wp:anchor>
                        </w:drawing>
                      </mc:Choice>
                      <mc:Fallback>
                        <w:pict>
                          <v:shape id="_x0000_s1026" o:spid="_x0000_s1026" o:spt="202" type="#_x0000_t202" style="position:absolute;left:0pt;margin-left:-11.05pt;margin-top:35.1pt;height:24.3pt;width:56.55pt;z-index:251667456;mso-width-relative:page;mso-height-relative:page;" filled="f" stroked="f" coordsize="21600,21600" o:gfxdata="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1/MSC2gAAAAkBAAAPAAAAAAAAAAEAIAAAACIAAABkcnMvZG93bnJldi54bWxQ&#10;SwECFAAUAAAACACHTuJAaGaqR7wBAABnAwAADgAAAAAAAAABACAAAAApAQAAZHJzL2Uyb0RvYy54&#10;bWxQSwUGAAAAAAYABgBZAQAAVwUAAAAA&#10;">
                            <v:fill on="f" focussize="0,0"/>
                            <v:stroke on="f" weight="1.25pt"/>
                            <v:imagedata o:title=""/>
                            <o:lock v:ext="edit" aspectratio="f"/>
                            <v:textbox>
                              <w:txbxContent>
                                <w:p>
                                  <w:r>
                                    <w:rPr>
                                      <w:rFonts w:hint="eastAsia"/>
                                      <w:sz w:val="18"/>
                                      <w:szCs w:val="21"/>
                                    </w:rPr>
                                    <w:t>采样日期</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426085</wp:posOffset>
                            </wp:positionH>
                            <wp:positionV relativeFrom="paragraph">
                              <wp:posOffset>304800</wp:posOffset>
                            </wp:positionV>
                            <wp:extent cx="481330" cy="260350"/>
                            <wp:effectExtent l="0" t="0" r="0" b="0"/>
                            <wp:wrapNone/>
                            <wp:docPr id="55" name="文本框 55"/>
                            <wp:cNvGraphicFramePr/>
                            <a:graphic xmlns:a="http://schemas.openxmlformats.org/drawingml/2006/main">
                              <a:graphicData uri="http://schemas.microsoft.com/office/word/2010/wordprocessingShape">
                                <wps:wsp>
                                  <wps:cNvSpPr txBox="1"/>
                                  <wps:spPr>
                                    <a:xfrm rot="1440000">
                                      <a:off x="0" y="0"/>
                                      <a:ext cx="481330" cy="260350"/>
                                    </a:xfrm>
                                    <a:prstGeom prst="rect">
                                      <a:avLst/>
                                    </a:prstGeom>
                                    <a:noFill/>
                                    <a:ln w="15875">
                                      <a:noFill/>
                                    </a:ln>
                                    <a:effectLst/>
                                  </wps:spPr>
                                  <wps:txbx>
                                    <w:txbxContent>
                                      <w:p>
                                        <w:pPr>
                                          <w:rPr>
                                            <w:sz w:val="18"/>
                                            <w:szCs w:val="21"/>
                                          </w:rPr>
                                        </w:pPr>
                                        <w:r>
                                          <w:rPr>
                                            <w:rFonts w:hint="eastAsia"/>
                                            <w:sz w:val="18"/>
                                            <w:szCs w:val="21"/>
                                          </w:rPr>
                                          <w:t>结果</w:t>
                                        </w:r>
                                      </w:p>
                                    </w:txbxContent>
                                  </wps:txbx>
                                  <wps:bodyPr upright="1"/>
                                </wps:wsp>
                              </a:graphicData>
                            </a:graphic>
                          </wp:anchor>
                        </w:drawing>
                      </mc:Choice>
                      <mc:Fallback>
                        <w:pict>
                          <v:shape id="_x0000_s1026" o:spid="_x0000_s1026" o:spt="202" type="#_x0000_t202" style="position:absolute;left:0pt;margin-left:33.55pt;margin-top:24pt;height:20.5pt;width:37.9pt;rotation:1572864f;z-index:251668480;mso-width-relative:page;mso-height-relative:page;" filled="f" stroked="f" coordsize="21600,21600" o:gfxdata="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yH84C2QAAAAgBAAAPAAAAAAAAAAEAIAAAACIAAABkcnMvZG93&#10;bnJldi54bWxQSwECFAAUAAAACACHTuJAF+fwisYBAAB1AwAADgAAAAAAAAABACAAAAAoAQAAZHJz&#10;L2Uyb0RvYy54bWxQSwUGAAAAAAYABgBZAQAAYAUAAAAA&#10;">
                            <v:fill on="f" focussize="0,0"/>
                            <v:stroke on="f" weight="1.25pt"/>
                            <v:imagedata o:title=""/>
                            <o:lock v:ext="edit" aspectratio="f"/>
                            <v:textbox>
                              <w:txbxContent>
                                <w:p>
                                  <w:pPr>
                                    <w:rPr>
                                      <w:sz w:val="18"/>
                                      <w:szCs w:val="21"/>
                                    </w:rPr>
                                  </w:pPr>
                                  <w:r>
                                    <w:rPr>
                                      <w:rFonts w:hint="eastAsia"/>
                                      <w:sz w:val="18"/>
                                      <w:szCs w:val="21"/>
                                    </w:rPr>
                                    <w:t>结果</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674370</wp:posOffset>
                            </wp:positionH>
                            <wp:positionV relativeFrom="paragraph">
                              <wp:posOffset>195580</wp:posOffset>
                            </wp:positionV>
                            <wp:extent cx="422910" cy="262890"/>
                            <wp:effectExtent l="0" t="0" r="0" b="0"/>
                            <wp:wrapNone/>
                            <wp:docPr id="56" name="文本框 56"/>
                            <wp:cNvGraphicFramePr/>
                            <a:graphic xmlns:a="http://schemas.openxmlformats.org/drawingml/2006/main">
                              <a:graphicData uri="http://schemas.microsoft.com/office/word/2010/wordprocessingShape">
                                <wps:wsp>
                                  <wps:cNvSpPr txBox="1"/>
                                  <wps:spPr>
                                    <a:xfrm rot="1860000">
                                      <a:off x="0" y="0"/>
                                      <a:ext cx="422910" cy="262890"/>
                                    </a:xfrm>
                                    <a:prstGeom prst="rect">
                                      <a:avLst/>
                                    </a:prstGeom>
                                    <a:noFill/>
                                    <a:ln w="15875">
                                      <a:noFill/>
                                    </a:ln>
                                    <a:effectLst/>
                                  </wps:spPr>
                                  <wps:txbx>
                                    <w:txbxContent>
                                      <w:p>
                                        <w:pPr>
                                          <w:rPr>
                                            <w:sz w:val="16"/>
                                            <w:szCs w:val="20"/>
                                          </w:rPr>
                                        </w:pPr>
                                        <w:r>
                                          <w:rPr>
                                            <w:rFonts w:hint="eastAsia"/>
                                            <w:sz w:val="16"/>
                                            <w:szCs w:val="20"/>
                                          </w:rPr>
                                          <w:t>点位</w:t>
                                        </w:r>
                                      </w:p>
                                    </w:txbxContent>
                                  </wps:txbx>
                                  <wps:bodyPr upright="1"/>
                                </wps:wsp>
                              </a:graphicData>
                            </a:graphic>
                          </wp:anchor>
                        </w:drawing>
                      </mc:Choice>
                      <mc:Fallback>
                        <w:pict>
                          <v:shape id="_x0000_s1026" o:spid="_x0000_s1026" o:spt="202" type="#_x0000_t202" style="position:absolute;left:0pt;margin-left:53.1pt;margin-top:15.4pt;height:20.7pt;width:33.3pt;rotation:2031616f;z-index:251669504;mso-width-relative:page;mso-height-relative:page;" filled="f" stroked="f" coordsize="21600,21600" o:gfxdata="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CJFxzdcAAAAJAQAADwAAAAAAAAABACAAAAAiAAAAZHJzL2Rvd25y&#10;ZXYueG1sUEsBAhQAFAAAAAgAh07iQNkYn+HGAQAAdQMAAA4AAAAAAAAAAQAgAAAAJgEAAGRycy9l&#10;Mm9Eb2MueG1sUEsFBgAAAAAGAAYAWQEAAF4FAAAAAA==&#10;">
                            <v:fill on="f" focussize="0,0"/>
                            <v:stroke on="f" weight="1.25pt"/>
                            <v:imagedata o:title=""/>
                            <o:lock v:ext="edit" aspectratio="f"/>
                            <v:textbox>
                              <w:txbxContent>
                                <w:p>
                                  <w:pPr>
                                    <w:rPr>
                                      <w:sz w:val="16"/>
                                      <w:szCs w:val="20"/>
                                    </w:rPr>
                                  </w:pPr>
                                  <w:r>
                                    <w:rPr>
                                      <w:rFonts w:hint="eastAsia"/>
                                      <w:sz w:val="16"/>
                                      <w:szCs w:val="20"/>
                                    </w:rPr>
                                    <w:t>点位</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0528" behindDoc="0" locked="0" layoutInCell="1" allowOverlap="1">
                            <wp:simplePos x="0" y="0"/>
                            <wp:positionH relativeFrom="column">
                              <wp:posOffset>750570</wp:posOffset>
                            </wp:positionH>
                            <wp:positionV relativeFrom="paragraph">
                              <wp:posOffset>28575</wp:posOffset>
                            </wp:positionV>
                            <wp:extent cx="496570" cy="28575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496570" cy="285750"/>
                                    </a:xfrm>
                                    <a:prstGeom prst="rect">
                                      <a:avLst/>
                                    </a:prstGeom>
                                    <a:noFill/>
                                    <a:ln w="15875">
                                      <a:noFill/>
                                    </a:ln>
                                    <a:effectLst/>
                                  </wps:spPr>
                                  <wps:txbx>
                                    <w:txbxContent>
                                      <w:p>
                                        <w:r>
                                          <w:rPr>
                                            <w:rFonts w:hint="eastAsia"/>
                                            <w:sz w:val="18"/>
                                            <w:szCs w:val="21"/>
                                          </w:rPr>
                                          <w:t>项目</w:t>
                                        </w:r>
                                      </w:p>
                                    </w:txbxContent>
                                  </wps:txbx>
                                  <wps:bodyPr upright="1"/>
                                </wps:wsp>
                              </a:graphicData>
                            </a:graphic>
                          </wp:anchor>
                        </w:drawing>
                      </mc:Choice>
                      <mc:Fallback>
                        <w:pict>
                          <v:shape id="_x0000_s1026" o:spid="_x0000_s1026" o:spt="202" type="#_x0000_t202" style="position:absolute;left:0pt;margin-left:59.1pt;margin-top:2.25pt;height:22.5pt;width:39.1pt;z-index:251670528;mso-width-relative:page;mso-height-relative:page;" filled="f" stroked="f" coordsize="21600,21600" o:gfxdata="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YeTJvZAAAACAEAAA8AAAAAAAAAAQAgAAAAIgAAAGRycy9kb3ducmV2LnhtbFBL&#10;AQIUABQAAAAIAIdO4kBZ7U99vAEAAGcDAAAOAAAAAAAAAAEAIAAAACgBAABkcnMvZTJvRG9jLnht&#10;bFBLBQYAAAAABgAGAFkBAABWBQAAAAA=&#10;">
                            <v:fill on="f" focussize="0,0"/>
                            <v:stroke on="f" weight="1.25pt"/>
                            <v:imagedata o:title=""/>
                            <o:lock v:ext="edit" aspectratio="f"/>
                            <v:textbox>
                              <w:txbxContent>
                                <w:p>
                                  <w:r>
                                    <w:rPr>
                                      <w:rFonts w:hint="eastAsia"/>
                                      <w:sz w:val="18"/>
                                      <w:szCs w:val="21"/>
                                    </w:rPr>
                                    <w:t>项目</w:t>
                                  </w:r>
                                </w:p>
                              </w:txbxContent>
                            </v:textbox>
                          </v:shape>
                        </w:pict>
                      </mc:Fallback>
                    </mc:AlternateContent>
                  </w:r>
                  <w:r>
                    <w:rPr>
                      <w:rFonts w:ascii="Times New Roman" w:hAnsi="Times New Roman" w:cs="Times New Roman"/>
                      <w:szCs w:val="21"/>
                    </w:rPr>
                    <mc:AlternateContent>
                      <mc:Choice Requires="wps">
                        <w:drawing>
                          <wp:anchor distT="0" distB="0" distL="114300" distR="114300" simplePos="0" relativeHeight="251664384" behindDoc="0" locked="0" layoutInCell="1" allowOverlap="1">
                            <wp:simplePos x="0" y="0"/>
                            <wp:positionH relativeFrom="column">
                              <wp:posOffset>-5080</wp:posOffset>
                            </wp:positionH>
                            <wp:positionV relativeFrom="paragraph">
                              <wp:posOffset>5715</wp:posOffset>
                            </wp:positionV>
                            <wp:extent cx="1227455" cy="351155"/>
                            <wp:effectExtent l="1270" t="4445" r="9525" b="6350"/>
                            <wp:wrapNone/>
                            <wp:docPr id="82" name="直接连接符 82"/>
                            <wp:cNvGraphicFramePr/>
                            <a:graphic xmlns:a="http://schemas.openxmlformats.org/drawingml/2006/main">
                              <a:graphicData uri="http://schemas.microsoft.com/office/word/2010/wordprocessingShape">
                                <wps:wsp>
                                  <wps:cNvCnPr/>
                                  <wps:spPr>
                                    <a:xfrm>
                                      <a:off x="0" y="0"/>
                                      <a:ext cx="1227455" cy="35115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4pt;margin-top:0.45pt;height:27.65pt;width:96.65pt;z-index:251664384;mso-width-relative:page;mso-height-relative:page;" filled="f" stroked="t" coordsize="21600,21600" o:gfxdata="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A+YUdMAAAAFAQAADwAAAAAAAAABACAAAAAiAAAAZHJzL2Rvd25yZXYueG1s&#10;UEsBAhQAFAAAAAgAh07iQGbzGF79AQAA+QMAAA4AAAAAAAAAAQAgAAAAIgEAAGRycy9lMm9Eb2Mu&#10;eG1sUEsFBgAAAAAGAAYAWQEAAJEFAAAAAA==&#10;">
                            <v:fill on="f" focussize="0,0"/>
                            <v:stroke color="#0000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665408" behindDoc="0" locked="0" layoutInCell="1" allowOverlap="1">
                            <wp:simplePos x="0" y="0"/>
                            <wp:positionH relativeFrom="column">
                              <wp:posOffset>-33655</wp:posOffset>
                            </wp:positionH>
                            <wp:positionV relativeFrom="paragraph">
                              <wp:posOffset>9525</wp:posOffset>
                            </wp:positionV>
                            <wp:extent cx="1318260" cy="725170"/>
                            <wp:effectExtent l="2540" t="4445" r="12700" b="13335"/>
                            <wp:wrapNone/>
                            <wp:docPr id="83" name="直接连接符 83"/>
                            <wp:cNvGraphicFramePr/>
                            <a:graphic xmlns:a="http://schemas.openxmlformats.org/drawingml/2006/main">
                              <a:graphicData uri="http://schemas.microsoft.com/office/word/2010/wordprocessingShape">
                                <wps:wsp>
                                  <wps:cNvCnPr/>
                                  <wps:spPr>
                                    <a:xfrm>
                                      <a:off x="0" y="0"/>
                                      <a:ext cx="1318260" cy="72517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65pt;margin-top:0.75pt;height:57.1pt;width:103.8pt;z-index:251665408;mso-width-relative:page;mso-height-relative:page;" filled="f" stroked="t" coordsize="21600,21600" o:gfxdata="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YoyctUAAAAIAQAADwAAAAAAAAABACAAAAAiAAAAZHJzL2Rvd25y&#10;ZXYueG1sUEsBAhQAFAAAAAgAh07iQFpeSMMBAgAA+QMAAA4AAAAAAAAAAQAgAAAAJAEAAGRycy9l&#10;Mm9Eb2MueG1sUEsFBgAAAAAGAAYAWQEAAJcFAAAAAA==&#10;">
                            <v:fill on="f" focussize="0,0"/>
                            <v:stroke color="#000000" joinstyle="round"/>
                            <v:imagedata o:title=""/>
                            <o:lock v:ext="edit" aspectratio="f"/>
                          </v:line>
                        </w:pict>
                      </mc:Fallback>
                    </mc:AlternateContent>
                  </w:r>
                  <w:r>
                    <w:rPr>
                      <w:rFonts w:ascii="Times New Roman" w:hAnsi="Times New Roman" w:cs="Times New Roman"/>
                      <w:szCs w:val="21"/>
                    </w:rPr>
                    <mc:AlternateContent>
                      <mc:Choice Requires="wps">
                        <w:drawing>
                          <wp:anchor distT="0" distB="0" distL="114300" distR="114300" simplePos="0" relativeHeight="251666432" behindDoc="0" locked="0" layoutInCell="1" allowOverlap="1">
                            <wp:simplePos x="0" y="0"/>
                            <wp:positionH relativeFrom="column">
                              <wp:posOffset>-61595</wp:posOffset>
                            </wp:positionH>
                            <wp:positionV relativeFrom="paragraph">
                              <wp:posOffset>0</wp:posOffset>
                            </wp:positionV>
                            <wp:extent cx="675640" cy="743585"/>
                            <wp:effectExtent l="3810" t="3175" r="6350" b="15240"/>
                            <wp:wrapNone/>
                            <wp:docPr id="84" name="直接连接符 84"/>
                            <wp:cNvGraphicFramePr/>
                            <a:graphic xmlns:a="http://schemas.openxmlformats.org/drawingml/2006/main">
                              <a:graphicData uri="http://schemas.microsoft.com/office/word/2010/wordprocessingShape">
                                <wps:wsp>
                                  <wps:cNvCnPr/>
                                  <wps:spPr>
                                    <a:xfrm>
                                      <a:off x="0" y="0"/>
                                      <a:ext cx="675640" cy="7435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4.85pt;margin-top:0pt;height:58.55pt;width:53.2pt;z-index:251666432;mso-width-relative:page;mso-height-relative:page;" filled="f" stroked="t" coordsize="21600,21600" o:gfxdata="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88qb1AAAAAYBAAAPAAAAAAAAAAEAIAAAACIAAABkcnMvZG93bnJldi54&#10;bWxQSwECFAAUAAAACACHTuJA4QDp+/4BAAD4AwAADgAAAAAAAAABACAAAAAjAQAAZHJzL2Uyb0Rv&#10;Yy54bWxQSwUGAAAAAAYABgBZAQAAkwUAAAAA&#10;">
                            <v:fill on="f" focussize="0,0"/>
                            <v:stroke color="#000000" joinstyle="round"/>
                            <v:imagedata o:title=""/>
                            <o:lock v:ext="edit" aspectratio="f"/>
                          </v:line>
                        </w:pict>
                      </mc:Fallback>
                    </mc:AlternateContent>
                  </w:r>
                </w:p>
              </w:tc>
              <w:tc>
                <w:tcPr>
                  <w:tcW w:w="6274" w:type="dxa"/>
                  <w:gridSpan w:val="5"/>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kern w:val="0"/>
                      <w:sz w:val="21"/>
                      <w:szCs w:val="21"/>
                      <w:lang w:val="en-US" w:eastAsia="zh-CN"/>
                    </w:rPr>
                  </w:pPr>
                  <w:r>
                    <w:rPr>
                      <w:rFonts w:hint="eastAsia" w:ascii="Times New Roman" w:hAnsi="Times New Roman" w:eastAsia="宋体" w:cs="Times New Roman"/>
                      <w:color w:val="000000"/>
                      <w:kern w:val="0"/>
                      <w:sz w:val="21"/>
                      <w:szCs w:val="21"/>
                      <w:lang w:val="en-US" w:eastAsia="zh-CN" w:bidi="ar"/>
                    </w:rPr>
                    <w:t>颗粒物</w:t>
                  </w:r>
                  <w:r>
                    <w:rPr>
                      <w:rFonts w:hint="default"/>
                      <w:sz w:val="21"/>
                      <w:szCs w:val="21"/>
                      <w:highlight w:val="none"/>
                    </w:rPr>
                    <w:t>（</w:t>
                  </w:r>
                  <w:r>
                    <w:rPr>
                      <w:rFonts w:hint="default" w:ascii="Times New Roman" w:hAnsi="Times New Roman" w:cs="Times New Roman" w:eastAsiaTheme="minorEastAsia"/>
                      <w:kern w:val="0"/>
                      <w:sz w:val="21"/>
                      <w:szCs w:val="21"/>
                    </w:rPr>
                    <w:t>mg/m</w:t>
                  </w:r>
                  <w:r>
                    <w:rPr>
                      <w:rFonts w:hint="default" w:ascii="Times New Roman" w:hAnsi="Times New Roman" w:cs="Times New Roman" w:eastAsiaTheme="minorEastAsia"/>
                      <w:kern w:val="0"/>
                      <w:sz w:val="21"/>
                      <w:szCs w:val="21"/>
                      <w:vertAlign w:val="superscript"/>
                    </w:rPr>
                    <w:t>3</w:t>
                  </w:r>
                  <w:r>
                    <w:rPr>
                      <w:rFonts w:hint="default" w:ascii="Times New Roman" w:hAnsi="Times New Roman" w:cs="Times New Roman"/>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74" w:hRule="atLeast"/>
                <w:jc w:val="center"/>
              </w:trPr>
              <w:tc>
                <w:tcPr>
                  <w:tcW w:w="2445" w:type="dxa"/>
                  <w:gridSpan w:val="2"/>
                  <w:vMerge w:val="continue"/>
                  <w:vAlign w:val="center"/>
                </w:tcPr>
                <w:p>
                  <w:pPr>
                    <w:widowControl/>
                    <w:jc w:val="center"/>
                    <w:rPr>
                      <w:rFonts w:ascii="Times New Roman" w:hAnsi="Times New Roman" w:cs="Times New Roman"/>
                      <w:color w:val="000000"/>
                      <w:kern w:val="0"/>
                      <w:szCs w:val="21"/>
                    </w:rPr>
                  </w:pPr>
                </w:p>
              </w:tc>
              <w:tc>
                <w:tcPr>
                  <w:tcW w:w="137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上风向1#</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下风向2#</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下风向3#</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下风向4#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374" w:hRule="atLeast"/>
                <w:jc w:val="center"/>
              </w:trPr>
              <w:tc>
                <w:tcPr>
                  <w:tcW w:w="2445" w:type="dxa"/>
                  <w:gridSpan w:val="2"/>
                  <w:vMerge w:val="continue"/>
                  <w:vAlign w:val="center"/>
                </w:tcPr>
                <w:p>
                  <w:pPr>
                    <w:widowControl/>
                    <w:jc w:val="center"/>
                    <w:rPr>
                      <w:rFonts w:ascii="Times New Roman" w:hAnsi="Times New Roman" w:cs="Times New Roman"/>
                      <w:color w:val="000000"/>
                      <w:kern w:val="0"/>
                      <w:szCs w:val="21"/>
                    </w:rPr>
                  </w:pPr>
                </w:p>
              </w:tc>
              <w:tc>
                <w:tcPr>
                  <w:tcW w:w="1377"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cs="Times New Roman" w:eastAsiaTheme="minorEastAsia"/>
                      <w:color w:val="000000"/>
                      <w:kern w:val="0"/>
                      <w:sz w:val="21"/>
                      <w:szCs w:val="21"/>
                      <w:lang w:val="en-US" w:eastAsia="zh-CN"/>
                    </w:rPr>
                  </w:pPr>
                  <w:r>
                    <w:rPr>
                      <w:rFonts w:hint="default" w:ascii="Times New Roman" w:hAnsi="Times New Roman" w:cs="Times New Roman" w:eastAsiaTheme="minorEastAsia"/>
                      <w:color w:val="000000"/>
                      <w:kern w:val="0"/>
                      <w:sz w:val="21"/>
                      <w:szCs w:val="21"/>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78" w:hRule="atLeast"/>
                <w:jc w:val="center"/>
              </w:trPr>
              <w:tc>
                <w:tcPr>
                  <w:tcW w:w="1327"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2024.04.09</w:t>
                  </w:r>
                </w:p>
              </w:tc>
              <w:tc>
                <w:tcPr>
                  <w:tcW w:w="111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第一次</w:t>
                  </w:r>
                </w:p>
              </w:tc>
              <w:tc>
                <w:tcPr>
                  <w:tcW w:w="137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0.262</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0.341</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0.315</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78" w:hRule="atLeast"/>
                <w:jc w:val="center"/>
              </w:trPr>
              <w:tc>
                <w:tcPr>
                  <w:tcW w:w="1327"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111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第二次</w:t>
                  </w:r>
                </w:p>
              </w:tc>
              <w:tc>
                <w:tcPr>
                  <w:tcW w:w="137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0.255</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0.323</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0.319</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78" w:hRule="atLeast"/>
                <w:jc w:val="center"/>
              </w:trPr>
              <w:tc>
                <w:tcPr>
                  <w:tcW w:w="1327"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111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第三次</w:t>
                  </w:r>
                </w:p>
              </w:tc>
              <w:tc>
                <w:tcPr>
                  <w:tcW w:w="137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highlight w:val="none"/>
                      <w:u w:val="none"/>
                      <w:lang w:val="en-US" w:eastAsia="zh-CN" w:bidi="ar"/>
                    </w:rPr>
                    <w:t>0.266</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0.335</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0.326</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90" w:hRule="atLeast"/>
                <w:jc w:val="center"/>
              </w:trPr>
              <w:tc>
                <w:tcPr>
                  <w:tcW w:w="1327"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2024.04.10</w:t>
                  </w:r>
                </w:p>
              </w:tc>
              <w:tc>
                <w:tcPr>
                  <w:tcW w:w="111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第一次</w:t>
                  </w:r>
                </w:p>
              </w:tc>
              <w:tc>
                <w:tcPr>
                  <w:tcW w:w="137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highlight w:val="none"/>
                      <w:lang w:val="en-US" w:eastAsia="zh-CN" w:bidi="ar-SA"/>
                    </w:rPr>
                    <w:t>0.252</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0.324</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0.332</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78" w:hRule="atLeast"/>
                <w:jc w:val="center"/>
              </w:trPr>
              <w:tc>
                <w:tcPr>
                  <w:tcW w:w="1327"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111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第二次</w:t>
                  </w:r>
                </w:p>
              </w:tc>
              <w:tc>
                <w:tcPr>
                  <w:tcW w:w="137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highlight w:val="none"/>
                      <w:lang w:val="en-US" w:eastAsia="zh-CN" w:bidi="ar-SA"/>
                    </w:rPr>
                    <w:t>0.241</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0.318</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0.315</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8" w:hRule="atLeast"/>
                <w:jc w:val="center"/>
              </w:trPr>
              <w:tc>
                <w:tcPr>
                  <w:tcW w:w="1327"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cs="Times New Roman"/>
                      <w:sz w:val="21"/>
                      <w:szCs w:val="21"/>
                      <w:lang w:val="en-US" w:eastAsia="zh-CN"/>
                    </w:rPr>
                  </w:pPr>
                </w:p>
              </w:tc>
              <w:tc>
                <w:tcPr>
                  <w:tcW w:w="1118"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第三次</w:t>
                  </w:r>
                </w:p>
              </w:tc>
              <w:tc>
                <w:tcPr>
                  <w:tcW w:w="137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kern w:val="2"/>
                      <w:sz w:val="21"/>
                      <w:szCs w:val="21"/>
                      <w:highlight w:val="none"/>
                      <w:lang w:val="en-US" w:eastAsia="zh-CN" w:bidi="ar-SA"/>
                    </w:rPr>
                    <w:t>0.264</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0.323</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0.308</w:t>
                  </w:r>
                </w:p>
              </w:tc>
              <w:tc>
                <w:tcPr>
                  <w:tcW w:w="163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0.318</w:t>
                  </w:r>
                </w:p>
              </w:tc>
            </w:tr>
          </w:tbl>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在0.241</w:t>
            </w:r>
            <w:r>
              <w:rPr>
                <w:rFonts w:hint="eastAsia" w:ascii="Times New Roman" w:hAnsi="Times New Roman" w:eastAsia="宋体" w:cs="Times New Roman"/>
                <w:sz w:val="24"/>
                <w:szCs w:val="24"/>
                <w:vertAlign w:val="baseline"/>
                <w:lang w:val="en-US" w:eastAsia="zh-CN"/>
              </w:rPr>
              <w:t>-0.341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满足《新乡市生态环境局关于进一步规范工业企业颗粒物排放限值的通知》排放要求（0.5mg/m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2、废水检测</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FF0000"/>
                <w:kern w:val="2"/>
                <w:sz w:val="24"/>
                <w:szCs w:val="24"/>
                <w:lang w:val="en-US" w:eastAsia="zh-CN"/>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本项目废水检测结果见表1</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17 </w:t>
            </w:r>
            <w:r>
              <w:rPr>
                <w:rFonts w:hint="default" w:ascii="Times New Roman" w:hAnsi="Times New Roman" w:cs="Times New Roman" w:eastAsiaTheme="minorEastAsia"/>
                <w:b/>
                <w:bCs/>
                <w:color w:val="auto"/>
                <w:kern w:val="2"/>
                <w:sz w:val="24"/>
                <w:szCs w:val="24"/>
                <w:lang w:val="en-US" w:eastAsia="zh-CN" w:bidi="ar-SA"/>
              </w:rPr>
              <w:t xml:space="preserve"> </w:t>
            </w:r>
            <w:r>
              <w:rPr>
                <w:rFonts w:hint="eastAsia" w:ascii="Times New Roman" w:hAnsi="Times New Roman" w:cs="Times New Roman" w:eastAsiaTheme="minorEastAsia"/>
                <w:b/>
                <w:bCs/>
                <w:color w:val="auto"/>
                <w:kern w:val="2"/>
                <w:sz w:val="24"/>
                <w:szCs w:val="24"/>
                <w:lang w:val="en-US" w:eastAsia="zh-CN" w:bidi="ar-SA"/>
              </w:rPr>
              <w:t>生活</w:t>
            </w:r>
            <w:r>
              <w:rPr>
                <w:rFonts w:hint="default" w:ascii="Times New Roman" w:hAnsi="Times New Roman" w:cs="Times New Roman" w:eastAsiaTheme="minorEastAsia"/>
                <w:b/>
                <w:bCs/>
                <w:color w:val="auto"/>
                <w:kern w:val="2"/>
                <w:sz w:val="24"/>
                <w:szCs w:val="24"/>
                <w:lang w:val="en-US" w:eastAsia="zh-CN" w:bidi="ar-SA"/>
              </w:rPr>
              <w:t>废水排放口废水监测结果一览表</w:t>
            </w:r>
          </w:p>
          <w:tbl>
            <w:tblPr>
              <w:tblStyle w:val="18"/>
              <w:tblW w:w="8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8"/>
              <w:gridCol w:w="803"/>
              <w:gridCol w:w="803"/>
              <w:gridCol w:w="803"/>
              <w:gridCol w:w="803"/>
              <w:gridCol w:w="3"/>
              <w:gridCol w:w="800"/>
              <w:gridCol w:w="803"/>
              <w:gridCol w:w="803"/>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采样时间</w:t>
                  </w:r>
                </w:p>
              </w:tc>
              <w:tc>
                <w:tcPr>
                  <w:tcW w:w="3215" w:type="dxa"/>
                  <w:gridSpan w:val="5"/>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2024.04.09</w:t>
                  </w:r>
                </w:p>
              </w:tc>
              <w:tc>
                <w:tcPr>
                  <w:tcW w:w="3215" w:type="dxa"/>
                  <w:gridSpan w:val="4"/>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2024.04.10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mc:AlternateContent>
                      <mc:Choice Requires="wps">
                        <w:drawing>
                          <wp:anchor distT="0" distB="0" distL="114300" distR="114300" simplePos="0" relativeHeight="251671552" behindDoc="0" locked="0" layoutInCell="1" allowOverlap="1">
                            <wp:simplePos x="0" y="0"/>
                            <wp:positionH relativeFrom="column">
                              <wp:posOffset>785495</wp:posOffset>
                            </wp:positionH>
                            <wp:positionV relativeFrom="paragraph">
                              <wp:posOffset>137160</wp:posOffset>
                            </wp:positionV>
                            <wp:extent cx="781050" cy="352425"/>
                            <wp:effectExtent l="0" t="0" r="0" b="0"/>
                            <wp:wrapNone/>
                            <wp:docPr id="32" name="文本框 211"/>
                            <wp:cNvGraphicFramePr/>
                            <a:graphic xmlns:a="http://schemas.openxmlformats.org/drawingml/2006/main">
                              <a:graphicData uri="http://schemas.microsoft.com/office/word/2010/wordprocessingShape">
                                <wps:wsp>
                                  <wps:cNvSpPr txBox="1"/>
                                  <wps:spPr>
                                    <a:xfrm>
                                      <a:off x="0" y="0"/>
                                      <a:ext cx="781050" cy="352425"/>
                                    </a:xfrm>
                                    <a:prstGeom prst="rect">
                                      <a:avLst/>
                                    </a:prstGeom>
                                    <a:noFill/>
                                    <a:ln w="15875">
                                      <a:noFill/>
                                    </a:ln>
                                  </wps:spPr>
                                  <wps:txbx>
                                    <w:txbxContent>
                                      <w:p>
                                        <w:pPr>
                                          <w:rPr>
                                            <w:rFonts w:hint="eastAsia"/>
                                            <w:sz w:val="18"/>
                                            <w:szCs w:val="18"/>
                                          </w:rPr>
                                        </w:pPr>
                                        <w:r>
                                          <w:rPr>
                                            <w:rFonts w:hint="eastAsia"/>
                                            <w:sz w:val="18"/>
                                            <w:szCs w:val="18"/>
                                          </w:rPr>
                                          <w:t>检测结果</w:t>
                                        </w:r>
                                      </w:p>
                                    </w:txbxContent>
                                  </wps:txbx>
                                  <wps:bodyPr upright="1"/>
                                </wps:wsp>
                              </a:graphicData>
                            </a:graphic>
                          </wp:anchor>
                        </w:drawing>
                      </mc:Choice>
                      <mc:Fallback>
                        <w:pict>
                          <v:shape id="文本框 211" o:spid="_x0000_s1026" o:spt="202" type="#_x0000_t202" style="position:absolute;left:0pt;margin-left:61.85pt;margin-top:10.8pt;height:27.75pt;width:61.5pt;z-index:251671552;mso-width-relative:page;mso-height-relative:page;" filled="f" stroked="f" coordsize="21600,21600" o:gfxdata="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KCkOtoAAAAJAQAADwAAAAAAAAABACAAAAAiAAAAZHJzL2Rvd25yZXYueG1sUEsBAhQA&#10;FAAAAAgAh07iQPIISTm3AQAAWgMAAA4AAAAAAAAAAQAgAAAAKQEAAGRycy9lMm9Eb2MueG1sUEsF&#10;BgAAAAAGAAYAWQEAAFIFAAAAAA==&#10;">
                            <v:fill on="f" focussize="0,0"/>
                            <v:stroke on="f" weight="1.25pt"/>
                            <v:imagedata o:title=""/>
                            <o:lock v:ext="edit" aspectratio="f"/>
                            <v:textbox>
                              <w:txbxContent>
                                <w:p>
                                  <w:pPr>
                                    <w:rPr>
                                      <w:rFonts w:hint="eastAsia"/>
                                      <w:sz w:val="18"/>
                                      <w:szCs w:val="18"/>
                                    </w:rPr>
                                  </w:pPr>
                                  <w:r>
                                    <w:rPr>
                                      <w:rFonts w:hint="eastAsia"/>
                                      <w:sz w:val="18"/>
                                      <w:szCs w:val="18"/>
                                    </w:rPr>
                                    <w:t>检测结果</w:t>
                                  </w:r>
                                </w:p>
                              </w:txbxContent>
                            </v:textbox>
                          </v:shape>
                        </w:pict>
                      </mc:Fallback>
                    </mc:AlternateContent>
                  </w:r>
                  <w:r>
                    <w:rPr>
                      <w:rFonts w:hint="default" w:ascii="Times New Roman" w:hAnsi="Times New Roman" w:cs="Times New Roman" w:eastAsiaTheme="minorEastAsia"/>
                      <w:color w:val="auto"/>
                      <w:sz w:val="21"/>
                      <w:szCs w:val="21"/>
                    </w:rPr>
                    <w:t>点位</w:t>
                  </w:r>
                  <w:r>
                    <w:rPr>
                      <w:rFonts w:hint="default" w:ascii="Times New Roman" w:hAnsi="Times New Roman" w:cs="Times New Roman" w:eastAsiaTheme="minorEastAsia"/>
                      <w:color w:val="auto"/>
                      <w:sz w:val="21"/>
                      <w:szCs w:val="21"/>
                      <w:lang w:eastAsia="zh-CN"/>
                    </w:rPr>
                    <w:t>及频次</w:t>
                  </w:r>
                </w:p>
              </w:tc>
              <w:tc>
                <w:tcPr>
                  <w:tcW w:w="6430" w:type="dxa"/>
                  <w:gridSpan w:val="9"/>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vertAlign w:val="baseline"/>
                      <w:lang w:val="en-US" w:eastAsia="zh-CN"/>
                    </w:rPr>
                    <w:t>生活污水排放口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dxa"/>
                  <w:tcBorders>
                    <w:tl2br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mc:AlternateContent>
                      <mc:Choice Requires="wps">
                        <w:drawing>
                          <wp:anchor distT="0" distB="0" distL="114300" distR="114300" simplePos="0" relativeHeight="251672576" behindDoc="0" locked="0" layoutInCell="1" allowOverlap="1">
                            <wp:simplePos x="0" y="0"/>
                            <wp:positionH relativeFrom="column">
                              <wp:posOffset>-17780</wp:posOffset>
                            </wp:positionH>
                            <wp:positionV relativeFrom="paragraph">
                              <wp:posOffset>-5715</wp:posOffset>
                            </wp:positionV>
                            <wp:extent cx="781050" cy="352425"/>
                            <wp:effectExtent l="0" t="0" r="0" b="0"/>
                            <wp:wrapNone/>
                            <wp:docPr id="33" name="文本框 210"/>
                            <wp:cNvGraphicFramePr/>
                            <a:graphic xmlns:a="http://schemas.openxmlformats.org/drawingml/2006/main">
                              <a:graphicData uri="http://schemas.microsoft.com/office/word/2010/wordprocessingShape">
                                <wps:wsp>
                                  <wps:cNvSpPr txBox="1"/>
                                  <wps:spPr>
                                    <a:xfrm>
                                      <a:off x="0" y="0"/>
                                      <a:ext cx="781050" cy="352425"/>
                                    </a:xfrm>
                                    <a:prstGeom prst="rect">
                                      <a:avLst/>
                                    </a:prstGeom>
                                    <a:noFill/>
                                    <a:ln w="15875">
                                      <a:noFill/>
                                    </a:ln>
                                  </wps:spPr>
                                  <wps:txbx>
                                    <w:txbxContent>
                                      <w:p>
                                        <w:pPr>
                                          <w:rPr>
                                            <w:rFonts w:hint="eastAsia"/>
                                            <w:sz w:val="18"/>
                                            <w:szCs w:val="18"/>
                                          </w:rPr>
                                        </w:pPr>
                                        <w:r>
                                          <w:rPr>
                                            <w:rFonts w:hint="eastAsia"/>
                                            <w:sz w:val="18"/>
                                            <w:szCs w:val="18"/>
                                          </w:rPr>
                                          <w:t>项目</w:t>
                                        </w:r>
                                      </w:p>
                                    </w:txbxContent>
                                  </wps:txbx>
                                  <wps:bodyPr upright="1"/>
                                </wps:wsp>
                              </a:graphicData>
                            </a:graphic>
                          </wp:anchor>
                        </w:drawing>
                      </mc:Choice>
                      <mc:Fallback>
                        <w:pict>
                          <v:shape id="文本框 210" o:spid="_x0000_s1026" o:spt="202" type="#_x0000_t202" style="position:absolute;left:0pt;margin-left:-1.4pt;margin-top:-0.45pt;height:27.75pt;width:61.5pt;z-index:251672576;mso-width-relative:page;mso-height-relative:page;" filled="f" stroked="f" coordsize="21600,21600" o:gfxdata="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apy4tkAAAAHAQAADwAAAAAAAAABACAAAAAiAAAAZHJzL2Rvd25yZXYueG1sUEsBAhQAFAAA&#10;AAgAh07iQEvb6Gq1AQAAWgMAAA4AAAAAAAAAAQAgAAAAKAEAAGRycy9lMm9Eb2MueG1sUEsFBgAA&#10;AAAGAAYAWQEAAE8FAAAAAA==&#10;">
                            <v:fill on="f" focussize="0,0"/>
                            <v:stroke on="f" weight="1.25pt"/>
                            <v:imagedata o:title=""/>
                            <o:lock v:ext="edit" aspectratio="f"/>
                            <v:textbox>
                              <w:txbxContent>
                                <w:p>
                                  <w:pPr>
                                    <w:rPr>
                                      <w:rFonts w:hint="eastAsia"/>
                                      <w:sz w:val="18"/>
                                      <w:szCs w:val="18"/>
                                    </w:rPr>
                                  </w:pPr>
                                  <w:r>
                                    <w:rPr>
                                      <w:rFonts w:hint="eastAsia"/>
                                      <w:sz w:val="18"/>
                                      <w:szCs w:val="18"/>
                                    </w:rPr>
                                    <w:t>项目</w:t>
                                  </w:r>
                                </w:p>
                              </w:txbxContent>
                            </v:textbox>
                          </v:shape>
                        </w:pict>
                      </mc:Fallback>
                    </mc:AlternateConten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第一次</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第二次</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第三次</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第四次</w:t>
                  </w:r>
                </w:p>
              </w:tc>
              <w:tc>
                <w:tcPr>
                  <w:tcW w:w="80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第一次</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第二次</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第三次</w:t>
                  </w:r>
                </w:p>
              </w:tc>
              <w:tc>
                <w:tcPr>
                  <w:tcW w:w="80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第四次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lang w:val="en-US" w:eastAsia="zh-CN" w:bidi="ar-SA"/>
                    </w:rPr>
                    <w:t>总氮（以N计）</w:t>
                  </w:r>
                  <w:r>
                    <w:rPr>
                      <w:rFonts w:hint="default" w:ascii="Times New Roman" w:hAnsi="Times New Roman" w:cs="Times New Roman" w:eastAsiaTheme="minorEastAsia"/>
                      <w:bCs/>
                      <w:color w:val="auto"/>
                      <w:sz w:val="21"/>
                      <w:szCs w:val="21"/>
                      <w:lang w:val="en-US" w:eastAsia="zh-CN"/>
                    </w:rPr>
                    <w:t>（mg/L）</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6.65</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7.05</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7.11</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6.97</w:t>
                  </w:r>
                </w:p>
              </w:tc>
              <w:tc>
                <w:tcPr>
                  <w:tcW w:w="80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6.59</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7.02</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6.69</w:t>
                  </w:r>
                </w:p>
              </w:tc>
              <w:tc>
                <w:tcPr>
                  <w:tcW w:w="80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bidi="ar-SA"/>
                    </w:rPr>
                    <w:t>总磷（以P计）</w:t>
                  </w:r>
                  <w:r>
                    <w:rPr>
                      <w:rFonts w:hint="default" w:ascii="Times New Roman" w:hAnsi="Times New Roman" w:cs="Times New Roman" w:eastAsiaTheme="minorEastAsia"/>
                      <w:bCs/>
                      <w:color w:val="auto"/>
                      <w:sz w:val="21"/>
                      <w:szCs w:val="21"/>
                      <w:lang w:val="en-US" w:eastAsia="zh-CN"/>
                    </w:rPr>
                    <w:t>（mg/L）</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1.11</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1.08</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1.02</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1.11</w:t>
                  </w:r>
                </w:p>
              </w:tc>
              <w:tc>
                <w:tcPr>
                  <w:tcW w:w="80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1.04</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1.16</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1.01</w:t>
                  </w:r>
                </w:p>
              </w:tc>
              <w:tc>
                <w:tcPr>
                  <w:tcW w:w="80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0"/>
                      <w:sz w:val="21"/>
                      <w:szCs w:val="21"/>
                      <w:highlight w:val="none"/>
                      <w:lang w:eastAsia="zh-CN"/>
                    </w:rPr>
                  </w:pPr>
                  <w:r>
                    <w:rPr>
                      <w:rFonts w:hint="default" w:ascii="Times New Roman" w:hAnsi="Times New Roman" w:cs="Times New Roman" w:eastAsiaTheme="minorEastAsia"/>
                      <w:color w:val="000000"/>
                      <w:kern w:val="0"/>
                      <w:sz w:val="21"/>
                      <w:szCs w:val="21"/>
                      <w:highlight w:val="none"/>
                      <w:lang w:val="en-US" w:eastAsia="zh-CN" w:bidi="ar"/>
                    </w:rPr>
                    <w:t>五日生化需氧量</w:t>
                  </w:r>
                  <w:r>
                    <w:rPr>
                      <w:rFonts w:hint="default" w:ascii="Times New Roman" w:hAnsi="Times New Roman" w:cs="Times New Roman" w:eastAsiaTheme="minorEastAsia"/>
                      <w:color w:val="auto"/>
                      <w:kern w:val="0"/>
                      <w:sz w:val="21"/>
                      <w:szCs w:val="21"/>
                      <w:highlight w:val="none"/>
                      <w:lang w:val="en-US" w:eastAsia="zh-CN"/>
                    </w:rPr>
                    <w:t>（mg/L）</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kern w:val="2"/>
                      <w:sz w:val="21"/>
                      <w:szCs w:val="21"/>
                      <w:highlight w:val="none"/>
                      <w:lang w:val="en-US" w:eastAsia="zh-CN" w:bidi="ar-SA"/>
                    </w:rPr>
                    <w:t>55.9</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rPr>
                    <w:t>57.8</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rPr>
                    <w:t>59.2</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rPr>
                    <w:t>60.8</w:t>
                  </w:r>
                </w:p>
              </w:tc>
              <w:tc>
                <w:tcPr>
                  <w:tcW w:w="80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rPr>
                    <w:t>58.7</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rPr>
                    <w:t>59.8</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rPr>
                    <w:t>61.4</w:t>
                  </w:r>
                </w:p>
              </w:tc>
              <w:tc>
                <w:tcPr>
                  <w:tcW w:w="80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highlight w:val="none"/>
                      <w:lang w:val="en-US" w:eastAsia="zh-CN"/>
                    </w:rPr>
                    <w:t>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sz w:val="21"/>
                      <w:szCs w:val="21"/>
                      <w:lang w:val="en-US" w:eastAsia="zh-CN"/>
                    </w:rPr>
                    <w:t>氨氮</w:t>
                  </w:r>
                  <w:r>
                    <w:rPr>
                      <w:rFonts w:hint="default" w:ascii="Times New Roman" w:hAnsi="Times New Roman" w:cs="Times New Roman" w:eastAsiaTheme="minorEastAsia"/>
                      <w:color w:val="auto"/>
                      <w:kern w:val="0"/>
                      <w:sz w:val="21"/>
                      <w:szCs w:val="21"/>
                      <w:lang w:val="en-US" w:eastAsia="zh-CN"/>
                    </w:rPr>
                    <w:t>（mg/L）</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kern w:val="2"/>
                      <w:sz w:val="21"/>
                      <w:szCs w:val="21"/>
                      <w:lang w:val="en-US" w:eastAsia="zh-CN" w:bidi="ar-SA"/>
                    </w:rPr>
                    <w:t>3.35</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3.61</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3.55</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3.51</w:t>
                  </w:r>
                </w:p>
              </w:tc>
              <w:tc>
                <w:tcPr>
                  <w:tcW w:w="80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3.45</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3.61</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3.52</w:t>
                  </w:r>
                </w:p>
              </w:tc>
              <w:tc>
                <w:tcPr>
                  <w:tcW w:w="80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3.46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rPr>
                    <w:t>化学需氧量</w:t>
                  </w:r>
                  <w:r>
                    <w:rPr>
                      <w:rFonts w:hint="default" w:ascii="Times New Roman" w:hAnsi="Times New Roman" w:cs="Times New Roman" w:eastAsiaTheme="minorEastAsia"/>
                      <w:color w:val="auto"/>
                      <w:kern w:val="0"/>
                      <w:sz w:val="21"/>
                      <w:szCs w:val="21"/>
                      <w:highlight w:val="none"/>
                      <w:lang w:val="en-US" w:eastAsia="zh-CN"/>
                    </w:rPr>
                    <w:t>（mg/L）</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Cs/>
                      <w:color w:val="auto"/>
                      <w:kern w:val="2"/>
                      <w:sz w:val="21"/>
                      <w:szCs w:val="21"/>
                      <w:highlight w:val="none"/>
                      <w:lang w:val="en-US" w:eastAsia="zh-CN" w:bidi="ar-SA"/>
                    </w:rPr>
                    <w:t>142</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Cs/>
                      <w:color w:val="auto"/>
                      <w:kern w:val="2"/>
                      <w:sz w:val="21"/>
                      <w:szCs w:val="21"/>
                      <w:highlight w:val="none"/>
                      <w:lang w:val="en-US" w:eastAsia="zh-CN" w:bidi="ar-SA"/>
                    </w:rPr>
                    <w:t>156</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Cs/>
                      <w:color w:val="auto"/>
                      <w:kern w:val="2"/>
                      <w:sz w:val="21"/>
                      <w:szCs w:val="21"/>
                      <w:highlight w:val="none"/>
                      <w:lang w:val="en-US" w:eastAsia="zh-CN" w:bidi="ar-SA"/>
                    </w:rPr>
                    <w:t>143</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Cs/>
                      <w:color w:val="auto"/>
                      <w:kern w:val="2"/>
                      <w:sz w:val="21"/>
                      <w:szCs w:val="21"/>
                      <w:highlight w:val="none"/>
                      <w:lang w:val="en-US" w:eastAsia="zh-CN" w:bidi="ar-SA"/>
                    </w:rPr>
                    <w:t>134</w:t>
                  </w:r>
                </w:p>
              </w:tc>
              <w:tc>
                <w:tcPr>
                  <w:tcW w:w="80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Cs/>
                      <w:color w:val="auto"/>
                      <w:kern w:val="2"/>
                      <w:sz w:val="21"/>
                      <w:szCs w:val="21"/>
                      <w:highlight w:val="none"/>
                      <w:lang w:val="en-US" w:eastAsia="zh-CN" w:bidi="ar-SA"/>
                    </w:rPr>
                    <w:t>148</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Cs/>
                      <w:color w:val="auto"/>
                      <w:kern w:val="2"/>
                      <w:sz w:val="21"/>
                      <w:szCs w:val="21"/>
                      <w:highlight w:val="none"/>
                      <w:lang w:val="en-US" w:eastAsia="zh-CN" w:bidi="ar-SA"/>
                    </w:rPr>
                    <w:t>137</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Cs/>
                      <w:color w:val="auto"/>
                      <w:kern w:val="2"/>
                      <w:sz w:val="21"/>
                      <w:szCs w:val="21"/>
                      <w:highlight w:val="none"/>
                      <w:lang w:val="en-US" w:eastAsia="zh-CN" w:bidi="ar-SA"/>
                    </w:rPr>
                    <w:t>151</w:t>
                  </w:r>
                </w:p>
              </w:tc>
              <w:tc>
                <w:tcPr>
                  <w:tcW w:w="80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Cs/>
                      <w:color w:val="auto"/>
                      <w:kern w:val="2"/>
                      <w:sz w:val="21"/>
                      <w:szCs w:val="21"/>
                      <w:highlight w:val="none"/>
                      <w:lang w:val="en-US" w:eastAsia="zh-CN" w:bidi="ar-SA"/>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sz w:val="21"/>
                      <w:szCs w:val="21"/>
                      <w:lang w:val="en-US" w:eastAsia="zh-CN"/>
                    </w:rPr>
                    <w:t>悬浮物</w:t>
                  </w:r>
                  <w:r>
                    <w:rPr>
                      <w:rFonts w:hint="default" w:ascii="Times New Roman" w:hAnsi="Times New Roman" w:cs="Times New Roman" w:eastAsiaTheme="minorEastAsia"/>
                      <w:color w:val="auto"/>
                      <w:kern w:val="0"/>
                      <w:sz w:val="21"/>
                      <w:szCs w:val="21"/>
                      <w:lang w:val="en-US" w:eastAsia="zh-CN"/>
                    </w:rPr>
                    <w:t>（mg/L）</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kern w:val="2"/>
                      <w:sz w:val="21"/>
                      <w:szCs w:val="21"/>
                      <w:lang w:val="en-US" w:eastAsia="zh-CN" w:bidi="ar-SA"/>
                    </w:rPr>
                    <w:t>55</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kern w:val="2"/>
                      <w:sz w:val="21"/>
                      <w:szCs w:val="21"/>
                      <w:lang w:val="en-US" w:eastAsia="zh-CN" w:bidi="ar-SA"/>
                    </w:rPr>
                    <w:t>58</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kern w:val="2"/>
                      <w:sz w:val="21"/>
                      <w:szCs w:val="21"/>
                      <w:lang w:val="en-US" w:eastAsia="zh-CN" w:bidi="ar-SA"/>
                    </w:rPr>
                    <w:t>54</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kern w:val="2"/>
                      <w:sz w:val="21"/>
                      <w:szCs w:val="21"/>
                      <w:lang w:val="en-US" w:eastAsia="zh-CN" w:bidi="ar-SA"/>
                    </w:rPr>
                    <w:t>49</w:t>
                  </w:r>
                </w:p>
              </w:tc>
              <w:tc>
                <w:tcPr>
                  <w:tcW w:w="80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kern w:val="2"/>
                      <w:sz w:val="21"/>
                      <w:szCs w:val="21"/>
                      <w:lang w:val="en-US" w:eastAsia="zh-CN" w:bidi="ar-SA"/>
                    </w:rPr>
                    <w:t>57</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kern w:val="2"/>
                      <w:sz w:val="21"/>
                      <w:szCs w:val="21"/>
                      <w:lang w:val="en-US" w:eastAsia="zh-CN" w:bidi="ar-SA"/>
                    </w:rPr>
                    <w:t>46</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kern w:val="2"/>
                      <w:sz w:val="21"/>
                      <w:szCs w:val="21"/>
                      <w:lang w:val="en-US" w:eastAsia="zh-CN" w:bidi="ar-SA"/>
                    </w:rPr>
                    <w:t>49</w:t>
                  </w:r>
                </w:p>
              </w:tc>
              <w:tc>
                <w:tcPr>
                  <w:tcW w:w="80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kern w:val="2"/>
                      <w:sz w:val="21"/>
                      <w:szCs w:val="21"/>
                      <w:lang w:val="en-US" w:eastAsia="zh-CN" w:bidi="ar-SA"/>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68"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kern w:val="2"/>
                      <w:sz w:val="21"/>
                      <w:szCs w:val="21"/>
                      <w:highlight w:val="none"/>
                      <w:lang w:val="en-US" w:eastAsia="zh-CN" w:bidi="ar-SA"/>
                    </w:rPr>
                    <w:t>流量（m</w:t>
                  </w:r>
                  <w:r>
                    <w:rPr>
                      <w:rFonts w:hint="default" w:ascii="Times New Roman" w:hAnsi="Times New Roman" w:cs="Times New Roman" w:eastAsiaTheme="minorEastAsia"/>
                      <w:color w:val="auto"/>
                      <w:kern w:val="2"/>
                      <w:sz w:val="21"/>
                      <w:szCs w:val="21"/>
                      <w:highlight w:val="none"/>
                      <w:vertAlign w:val="superscript"/>
                      <w:lang w:val="en-US" w:eastAsia="zh-CN" w:bidi="ar-SA"/>
                    </w:rPr>
                    <w:t>3</w:t>
                  </w:r>
                  <w:r>
                    <w:rPr>
                      <w:rFonts w:hint="default" w:ascii="Times New Roman" w:hAnsi="Times New Roman" w:cs="Times New Roman" w:eastAsiaTheme="minorEastAsia"/>
                      <w:color w:val="auto"/>
                      <w:kern w:val="2"/>
                      <w:sz w:val="21"/>
                      <w:szCs w:val="21"/>
                      <w:highlight w:val="none"/>
                      <w:lang w:val="en-US" w:eastAsia="zh-CN" w:bidi="ar-SA"/>
                    </w:rPr>
                    <w:t>/d）</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1.27</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1.27</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1.27</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1.27</w:t>
                  </w:r>
                </w:p>
              </w:tc>
              <w:tc>
                <w:tcPr>
                  <w:tcW w:w="803"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1.27</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1.27</w:t>
                  </w:r>
                </w:p>
              </w:tc>
              <w:tc>
                <w:tcPr>
                  <w:tcW w:w="803"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1.27</w:t>
                  </w:r>
                </w:p>
              </w:tc>
              <w:tc>
                <w:tcPr>
                  <w:tcW w:w="809" w:type="dxa"/>
                  <w:noWrap w:val="0"/>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lang w:val="en-US" w:eastAsia="zh-CN"/>
                    </w:rPr>
                    <w:t>1.27</w:t>
                  </w:r>
                </w:p>
              </w:tc>
            </w:tr>
          </w:tbl>
          <w:p>
            <w:pPr>
              <w:pageBreakBefore w:val="0"/>
              <w:widowControl/>
              <w:numPr>
                <w:ilvl w:val="0"/>
                <w:numId w:val="0"/>
              </w:numPr>
              <w:kinsoku/>
              <w:wordWrap/>
              <w:overflowPunct/>
              <w:topLinePunct w:val="0"/>
              <w:autoSpaceDE/>
              <w:autoSpaceDN/>
              <w:bidi w:val="0"/>
              <w:adjustRightInd/>
              <w:snapToGrid/>
              <w:spacing w:after="0" w:afterLines="0" w:line="520" w:lineRule="exact"/>
              <w:ind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根据检测结果，生活污水经厂区化粪池处理后COD为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134-156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545.9-61.4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46-58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氨氮为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3.35-3.61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、总氮为6.59-7.11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、总磷为1.02-1.13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和长垣市第一污水处理厂收水标准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pPr>
              <w:pStyle w:val="8"/>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18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8"/>
              <w:tblW w:w="91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1824"/>
              <w:gridCol w:w="1824"/>
              <w:gridCol w:w="1824"/>
              <w:gridCol w:w="1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3" w:type="dxa"/>
                  <w:vMerge w:val="restart"/>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textAlignment w:val="auto"/>
                    <w:rPr>
                      <w:rFonts w:ascii="Times New Roman" w:hAnsi="Times New Roman" w:cs="Times New Roman"/>
                      <w:color w:val="000000"/>
                      <w:szCs w:val="21"/>
                    </w:rPr>
                  </w:pP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-76835</wp:posOffset>
                            </wp:positionH>
                            <wp:positionV relativeFrom="paragraph">
                              <wp:posOffset>132715</wp:posOffset>
                            </wp:positionV>
                            <wp:extent cx="647065" cy="28067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647065" cy="280670"/>
                                    </a:xfrm>
                                    <a:prstGeom prst="rect">
                                      <a:avLst/>
                                    </a:prstGeom>
                                    <a:noFill/>
                                    <a:ln w="15875">
                                      <a:noFill/>
                                    </a:ln>
                                    <a:effectLst/>
                                  </wps:spPr>
                                  <wps:txbx>
                                    <w:txbxContent>
                                      <w:p>
                                        <w:pPr>
                                          <w:rPr>
                                            <w:sz w:val="16"/>
                                            <w:szCs w:val="16"/>
                                          </w:rPr>
                                        </w:pPr>
                                        <w:r>
                                          <w:rPr>
                                            <w:rFonts w:hint="eastAsia"/>
                                            <w:sz w:val="16"/>
                                            <w:szCs w:val="16"/>
                                          </w:rPr>
                                          <w:t>采样点位</w:t>
                                        </w:r>
                                      </w:p>
                                    </w:txbxContent>
                                  </wps:txbx>
                                  <wps:bodyPr upright="1"/>
                                </wps:wsp>
                              </a:graphicData>
                            </a:graphic>
                          </wp:anchor>
                        </w:drawing>
                      </mc:Choice>
                      <mc:Fallback>
                        <w:pict>
                          <v:shape id="_x0000_s1026" o:spid="_x0000_s1026" o:spt="202" type="#_x0000_t202" style="position:absolute;left:0pt;margin-left:-6.05pt;margin-top:10.45pt;height:22.1pt;width:50.95pt;z-index:251663360;mso-width-relative:page;mso-height-relative:page;" filled="f" stroked="f" coordsize="21600,21600" o:gfxdata="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Pphx9tsAAAAIAQAADwAAAAAAAAABACAAAAAiAAAAZHJzL2Rvd25yZXYueG1s&#10;UEsBAhQAFAAAAAgAh07iQICMNje8AQAAaQMAAA4AAAAAAAAAAQAgAAAAKgEAAGRycy9lMm9Eb2Mu&#10;eG1sUEsFBgAAAAAGAAYAWQEAAFgFAAAAAA==&#10;">
                            <v:fill on="f" focussize="0,0"/>
                            <v:stroke on="f" weight="1.25pt"/>
                            <v:imagedata o:title=""/>
                            <o:lock v:ext="edit" aspectratio="f"/>
                            <v:textbox>
                              <w:txbxContent>
                                <w:p>
                                  <w:pPr>
                                    <w:rPr>
                                      <w:sz w:val="16"/>
                                      <w:szCs w:val="16"/>
                                    </w:rPr>
                                  </w:pPr>
                                  <w:r>
                                    <w:rPr>
                                      <w:rFonts w:hint="eastAsia"/>
                                      <w:sz w:val="16"/>
                                      <w:szCs w:val="16"/>
                                    </w:rPr>
                                    <w:t>采样点位</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384810</wp:posOffset>
                            </wp:positionH>
                            <wp:positionV relativeFrom="paragraph">
                              <wp:posOffset>-1905</wp:posOffset>
                            </wp:positionV>
                            <wp:extent cx="700405" cy="307975"/>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700405" cy="307975"/>
                                    </a:xfrm>
                                    <a:prstGeom prst="rect">
                                      <a:avLst/>
                                    </a:prstGeom>
                                    <a:noFill/>
                                    <a:ln w="15875">
                                      <a:noFill/>
                                    </a:ln>
                                    <a:effectLst/>
                                  </wps:spPr>
                                  <wps:txbx>
                                    <w:txbxContent>
                                      <w:p>
                                        <w:pPr>
                                          <w:rPr>
                                            <w:sz w:val="16"/>
                                            <w:szCs w:val="16"/>
                                          </w:rPr>
                                        </w:pPr>
                                        <w:r>
                                          <w:rPr>
                                            <w:rFonts w:hint="eastAsia"/>
                                            <w:sz w:val="16"/>
                                            <w:szCs w:val="16"/>
                                          </w:rPr>
                                          <w:t>采样时间</w:t>
                                        </w:r>
                                      </w:p>
                                    </w:txbxContent>
                                  </wps:txbx>
                                  <wps:bodyPr upright="1"/>
                                </wps:wsp>
                              </a:graphicData>
                            </a:graphic>
                          </wp:anchor>
                        </w:drawing>
                      </mc:Choice>
                      <mc:Fallback>
                        <w:pict>
                          <v:shape id="_x0000_s1026" o:spid="_x0000_s1026" o:spt="202" type="#_x0000_t202" style="position:absolute;left:0pt;margin-left:30.3pt;margin-top:-0.15pt;height:24.25pt;width:55.15pt;z-index:251662336;mso-width-relative:page;mso-height-relative:page;" filled="f" stroked="f" coordsize="21600,21600" o:gfxdata="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Nh3R2QAAAAcBAAAPAAAAAAAAAAEAIAAAACIAAABkcnMvZG93bnJldi54bWxQSwEC&#10;FAAUAAAACACHTuJA2VBciboBAABpAwAADgAAAAAAAAABACAAAAAoAQAAZHJzL2Uyb0RvYy54bWxQ&#10;SwUGAAAAAAYABgBZAQAAVAUAAAAA&#10;">
                            <v:fill on="f" focussize="0,0"/>
                            <v:stroke on="f" weight="1.25pt"/>
                            <v:imagedata o:title=""/>
                            <o:lock v:ext="edit" aspectratio="f"/>
                            <v:textbox>
                              <w:txbxContent>
                                <w:p>
                                  <w:pPr>
                                    <w:rPr>
                                      <w:sz w:val="16"/>
                                      <w:szCs w:val="16"/>
                                    </w:rPr>
                                  </w:pPr>
                                  <w:r>
                                    <w:rPr>
                                      <w:rFonts w:hint="eastAsia"/>
                                      <w:sz w:val="16"/>
                                      <w:szCs w:val="16"/>
                                    </w:rPr>
                                    <w:t>采样时间</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24130</wp:posOffset>
                            </wp:positionV>
                            <wp:extent cx="1160145" cy="397510"/>
                            <wp:effectExtent l="1270" t="4445" r="19685" b="17145"/>
                            <wp:wrapNone/>
                            <wp:docPr id="151" name="直接连接符 151"/>
                            <wp:cNvGraphicFramePr/>
                            <a:graphic xmlns:a="http://schemas.openxmlformats.org/drawingml/2006/main">
                              <a:graphicData uri="http://schemas.microsoft.com/office/word/2010/wordprocessingShape">
                                <wps:wsp>
                                  <wps:cNvCnPr/>
                                  <wps:spPr>
                                    <a:xfrm>
                                      <a:off x="0" y="0"/>
                                      <a:ext cx="1160145" cy="39751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95pt;margin-top:1.9pt;height:31.3pt;width:91.35pt;z-index:251661312;mso-width-relative:page;mso-height-relative:page;" filled="f" stroked="t" coordsize="21600,21600" o:gfxdata="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p5Hl01wAAAAgBAAAPAAAAAAAAAAEAIAAAACIAAABkcnMvZG93&#10;bnJldi54bWxQSwECFAAUAAAACACHTuJA1cS5ogECAAD7AwAADgAAAAAAAAABACAAAAAmAQAAZHJz&#10;L2Uyb0RvYy54bWxQSwUGAAAAAAYABgBZAQAAmQUAAAAA&#10;">
                            <v:fill on="f" focussize="0,0"/>
                            <v:stroke color="#000000" joinstyle="round"/>
                            <v:imagedata o:title=""/>
                            <o:lock v:ext="edit" aspectratio="f"/>
                          </v:line>
                        </w:pict>
                      </mc:Fallback>
                    </mc:AlternateContent>
                  </w:r>
                </w:p>
              </w:tc>
              <w:tc>
                <w:tcPr>
                  <w:tcW w:w="3648" w:type="dxa"/>
                  <w:gridSpan w:val="2"/>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cs="Times New Roman"/>
                      <w:color w:val="5B9BD5" w:themeColor="accent1"/>
                      <w:szCs w:val="21"/>
                      <w:lang w:val="en-US" w:eastAsia="zh-CN"/>
                      <w14:textFill>
                        <w14:solidFill>
                          <w14:schemeClr w14:val="accent1"/>
                        </w14:solidFill>
                      </w14:textFill>
                    </w:rPr>
                  </w:pPr>
                  <w:r>
                    <w:rPr>
                      <w:rFonts w:hint="eastAsia" w:ascii="Times New Roman" w:hAnsi="Times New Roman" w:cs="Times New Roman"/>
                      <w:color w:val="auto"/>
                      <w:sz w:val="21"/>
                      <w:szCs w:val="21"/>
                      <w:lang w:val="en-US" w:eastAsia="zh-CN"/>
                    </w:rPr>
                    <w:t>2024.04.09</w:t>
                  </w:r>
                </w:p>
              </w:tc>
              <w:tc>
                <w:tcPr>
                  <w:tcW w:w="3648" w:type="dxa"/>
                  <w:gridSpan w:val="2"/>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2024.04.10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3" w:type="dxa"/>
                  <w:vMerge w:val="continue"/>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textAlignment w:val="auto"/>
                    <w:rPr>
                      <w:rFonts w:ascii="Times New Roman" w:hAnsi="Times New Roman" w:cs="Times New Roman"/>
                      <w:color w:val="000000"/>
                      <w:szCs w:val="21"/>
                    </w:rPr>
                  </w:pP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eastAsia" w:ascii="Times New Roman" w:hAnsi="Times New Roman" w:cs="Times New Roman" w:eastAsiaTheme="minorEastAsia"/>
                      <w:color w:val="auto"/>
                      <w:szCs w:val="21"/>
                      <w:lang w:eastAsia="zh-CN"/>
                    </w:rPr>
                  </w:pPr>
                  <w:r>
                    <w:rPr>
                      <w:rFonts w:ascii="Times New Roman" w:hAnsi="Times New Roman" w:cs="Times New Roman"/>
                      <w:color w:val="auto"/>
                      <w:szCs w:val="21"/>
                    </w:rPr>
                    <w:t>昼间</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pPr>
                  <w:r>
                    <w:rPr>
                      <w:rFonts w:hint="eastAsia" w:ascii="Times New Roman" w:hAnsi="Times New Roman" w:cs="Times New Roman"/>
                      <w:color w:val="auto"/>
                      <w:szCs w:val="21"/>
                      <w:lang w:val="en-US" w:eastAsia="zh-CN"/>
                    </w:rPr>
                    <w:t>夜间</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rPr>
                      <w:rFonts w:hint="eastAsia" w:ascii="Times New Roman" w:hAnsi="Times New Roman" w:cs="Times New Roman" w:eastAsiaTheme="minorEastAsia"/>
                      <w:color w:val="auto"/>
                      <w:szCs w:val="21"/>
                      <w:lang w:eastAsia="zh-CN"/>
                    </w:rPr>
                  </w:pPr>
                  <w:r>
                    <w:rPr>
                      <w:rFonts w:ascii="Times New Roman" w:hAnsi="Times New Roman" w:cs="Times New Roman"/>
                      <w:color w:val="auto"/>
                      <w:szCs w:val="21"/>
                    </w:rPr>
                    <w:t>昼间</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line="240" w:lineRule="auto"/>
                    <w:jc w:val="center"/>
                    <w:textAlignment w:val="auto"/>
                  </w:pPr>
                  <w:r>
                    <w:rPr>
                      <w:rFonts w:hint="eastAsia" w:ascii="Times New Roman" w:hAnsi="Times New Roman" w:cs="Times New Roman"/>
                      <w:color w:val="auto"/>
                      <w:szCs w:val="21"/>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3" w:type="dxa"/>
                  <w:vAlign w:val="center"/>
                </w:tcPr>
                <w:p>
                  <w:pPr>
                    <w:pStyle w:val="17"/>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eastAsia="宋体" w:cs="Times New Roman"/>
                      <w:sz w:val="21"/>
                      <w:szCs w:val="21"/>
                    </w:rPr>
                    <w:t>1#东厂界</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kern w:val="2"/>
                      <w:sz w:val="21"/>
                      <w:szCs w:val="21"/>
                      <w:lang w:val="en-US" w:eastAsia="zh-CN" w:bidi="ar-SA"/>
                    </w:rPr>
                    <w:t>56</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jc w:val="center"/>
                    <w:textAlignment w:val="auto"/>
                  </w:pPr>
                  <w:r>
                    <w:rPr>
                      <w:rFonts w:hint="eastAsia" w:ascii="Times New Roman" w:hAnsi="Times New Roman" w:eastAsia="宋体" w:cs="Times New Roman"/>
                      <w:color w:val="auto"/>
                      <w:kern w:val="2"/>
                      <w:sz w:val="21"/>
                      <w:szCs w:val="21"/>
                      <w:lang w:val="en-US" w:eastAsia="zh-CN" w:bidi="ar-SA"/>
                    </w:rPr>
                    <w:t>45</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55</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jc w:val="center"/>
                    <w:textAlignment w:val="auto"/>
                  </w:pPr>
                  <w:r>
                    <w:rPr>
                      <w:rFonts w:hint="eastAsia" w:ascii="Times New Roman" w:hAnsi="Times New Roman" w:eastAsia="宋体" w:cs="Times New Roman"/>
                      <w:color w:val="auto"/>
                      <w:kern w:val="2"/>
                      <w:sz w:val="21"/>
                      <w:szCs w:val="21"/>
                      <w:lang w:val="en-US" w:eastAsia="zh-CN" w:bidi="ar-SA"/>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3" w:type="dxa"/>
                  <w:vAlign w:val="center"/>
                </w:tcPr>
                <w:p>
                  <w:pPr>
                    <w:pStyle w:val="17"/>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Times New Roman" w:hAnsi="Times New Roman" w:cs="Times New Roman"/>
                      <w:color w:val="000000"/>
                      <w:sz w:val="21"/>
                      <w:szCs w:val="21"/>
                    </w:rPr>
                  </w:pPr>
                  <w:r>
                    <w:rPr>
                      <w:rFonts w:hint="default" w:ascii="Times New Roman" w:hAnsi="Times New Roman" w:eastAsia="宋体" w:cs="Times New Roman"/>
                      <w:sz w:val="21"/>
                      <w:szCs w:val="21"/>
                    </w:rPr>
                    <w:t>2#</w:t>
                  </w:r>
                  <w:r>
                    <w:rPr>
                      <w:rFonts w:hint="eastAsia" w:ascii="Times New Roman" w:hAnsi="Times New Roman" w:eastAsia="宋体" w:cs="Times New Roman"/>
                      <w:sz w:val="21"/>
                      <w:szCs w:val="21"/>
                      <w:lang w:val="en-US" w:eastAsia="zh-CN"/>
                    </w:rPr>
                    <w:t>南</w:t>
                  </w:r>
                  <w:r>
                    <w:rPr>
                      <w:rFonts w:hint="default" w:ascii="Times New Roman" w:hAnsi="Times New Roman" w:eastAsia="宋体" w:cs="Times New Roman"/>
                      <w:sz w:val="21"/>
                      <w:szCs w:val="21"/>
                    </w:rPr>
                    <w:t>厂界</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kern w:val="2"/>
                      <w:sz w:val="21"/>
                      <w:szCs w:val="21"/>
                      <w:lang w:val="en-US" w:eastAsia="zh-CN" w:bidi="ar-SA"/>
                    </w:rPr>
                    <w:t>55</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jc w:val="center"/>
                    <w:textAlignment w:val="auto"/>
                  </w:pPr>
                  <w:r>
                    <w:rPr>
                      <w:rFonts w:hint="eastAsia" w:ascii="Times New Roman" w:hAnsi="Times New Roman" w:eastAsia="宋体" w:cs="Times New Roman"/>
                      <w:color w:val="auto"/>
                      <w:kern w:val="2"/>
                      <w:sz w:val="21"/>
                      <w:szCs w:val="21"/>
                      <w:lang w:val="en-US" w:eastAsia="zh-CN" w:bidi="ar-SA"/>
                    </w:rPr>
                    <w:t>46</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54</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jc w:val="center"/>
                    <w:textAlignment w:val="auto"/>
                  </w:pPr>
                  <w:r>
                    <w:rPr>
                      <w:rFonts w:hint="eastAsia" w:ascii="Times New Roman" w:hAnsi="Times New Roman" w:eastAsia="宋体" w:cs="Times New Roman"/>
                      <w:color w:val="auto"/>
                      <w:kern w:val="2"/>
                      <w:sz w:val="21"/>
                      <w:szCs w:val="21"/>
                      <w:lang w:val="en-US" w:eastAsia="zh-CN" w:bidi="ar-SA"/>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3" w:type="dxa"/>
                  <w:vAlign w:val="center"/>
                </w:tcPr>
                <w:p>
                  <w:pPr>
                    <w:pStyle w:val="17"/>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3#西厂界</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000000"/>
                      <w:kern w:val="2"/>
                      <w:sz w:val="21"/>
                      <w:szCs w:val="21"/>
                      <w:lang w:val="en-US" w:eastAsia="zh-CN" w:bidi="ar-SA"/>
                    </w:rPr>
                    <w:t>55</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jc w:val="center"/>
                    <w:textAlignment w:val="auto"/>
                  </w:pPr>
                  <w:r>
                    <w:rPr>
                      <w:rFonts w:hint="eastAsia" w:ascii="Times New Roman" w:hAnsi="Times New Roman" w:eastAsia="宋体" w:cs="Times New Roman"/>
                      <w:color w:val="auto"/>
                      <w:kern w:val="2"/>
                      <w:sz w:val="21"/>
                      <w:szCs w:val="21"/>
                      <w:lang w:val="en-US" w:eastAsia="zh-CN" w:bidi="ar-SA"/>
                    </w:rPr>
                    <w:t>46</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55</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jc w:val="center"/>
                    <w:textAlignment w:val="auto"/>
                  </w:pPr>
                  <w:r>
                    <w:rPr>
                      <w:rFonts w:hint="eastAsia" w:ascii="Times New Roman" w:hAnsi="Times New Roman" w:eastAsia="宋体" w:cs="Times New Roman"/>
                      <w:color w:val="auto"/>
                      <w:kern w:val="2"/>
                      <w:sz w:val="21"/>
                      <w:szCs w:val="21"/>
                      <w:lang w:val="en-US" w:eastAsia="zh-CN" w:bidi="ar-SA"/>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23" w:type="dxa"/>
                  <w:vAlign w:val="center"/>
                </w:tcPr>
                <w:p>
                  <w:pPr>
                    <w:pStyle w:val="17"/>
                    <w:keepNext w:val="0"/>
                    <w:keepLines w:val="0"/>
                    <w:pageBreakBefore w:val="0"/>
                    <w:widowControl/>
                    <w:kinsoku/>
                    <w:wordWrap/>
                    <w:overflowPunct/>
                    <w:topLinePunct w:val="0"/>
                    <w:autoSpaceDE/>
                    <w:autoSpaceDN/>
                    <w:bidi w:val="0"/>
                    <w:adjustRightInd w:val="0"/>
                    <w:snapToGrid w:val="0"/>
                    <w:spacing w:after="0" w:afterLines="0" w:line="240" w:lineRule="auto"/>
                    <w:ind w:left="0" w:lef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4#北厂界</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000000"/>
                      <w:kern w:val="2"/>
                      <w:sz w:val="21"/>
                      <w:szCs w:val="21"/>
                      <w:lang w:val="en-US" w:eastAsia="zh-CN" w:bidi="ar-SA"/>
                    </w:rPr>
                    <w:t>54</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jc w:val="center"/>
                    <w:textAlignment w:val="auto"/>
                  </w:pPr>
                  <w:r>
                    <w:rPr>
                      <w:rFonts w:hint="eastAsia" w:ascii="Times New Roman" w:hAnsi="Times New Roman" w:eastAsia="宋体" w:cs="Times New Roman"/>
                      <w:color w:val="auto"/>
                      <w:kern w:val="2"/>
                      <w:sz w:val="21"/>
                      <w:szCs w:val="21"/>
                      <w:lang w:val="en-US" w:eastAsia="zh-CN" w:bidi="ar-SA"/>
                    </w:rPr>
                    <w:t>43</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53</w:t>
                  </w:r>
                </w:p>
              </w:tc>
              <w:tc>
                <w:tcPr>
                  <w:tcW w:w="1824" w:type="dxa"/>
                  <w:vAlign w:val="center"/>
                </w:tcPr>
                <w:p>
                  <w:pPr>
                    <w:keepNext w:val="0"/>
                    <w:keepLines w:val="0"/>
                    <w:pageBreakBefore w:val="0"/>
                    <w:widowControl/>
                    <w:tabs>
                      <w:tab w:val="left" w:pos="3409"/>
                    </w:tabs>
                    <w:kinsoku/>
                    <w:wordWrap/>
                    <w:overflowPunct/>
                    <w:topLinePunct w:val="0"/>
                    <w:autoSpaceDE/>
                    <w:autoSpaceDN/>
                    <w:bidi w:val="0"/>
                    <w:adjustRightInd w:val="0"/>
                    <w:snapToGrid w:val="0"/>
                    <w:spacing w:after="0" w:afterLines="0"/>
                    <w:jc w:val="center"/>
                    <w:textAlignment w:val="auto"/>
                  </w:pPr>
                  <w:r>
                    <w:rPr>
                      <w:rFonts w:hint="eastAsia" w:ascii="Times New Roman" w:hAnsi="Times New Roman" w:eastAsia="宋体" w:cs="Times New Roman"/>
                      <w:color w:val="auto"/>
                      <w:kern w:val="2"/>
                      <w:sz w:val="21"/>
                      <w:szCs w:val="21"/>
                      <w:lang w:val="en-US" w:eastAsia="zh-CN" w:bidi="ar-SA"/>
                    </w:rPr>
                    <w:t>44</w:t>
                  </w:r>
                </w:p>
              </w:tc>
            </w:tr>
          </w:tbl>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由</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噪声检测结果显示，本项目厂界昼间噪声在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（A）</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after="0" w:line="520" w:lineRule="exact"/>
              <w:ind w:firstLine="420" w:firstLineChars="200"/>
              <w:textAlignment w:val="auto"/>
              <w:outlineLvl w:val="9"/>
              <w:rPr>
                <w:rFonts w:hint="default" w:ascii="Times New Roman" w:hAnsi="Times New Roman" w:eastAsia="仿宋_GB2312" w:cs="Times New Roman"/>
                <w:color w:val="FF0000"/>
                <w:sz w:val="21"/>
                <w:szCs w:val="21"/>
                <w:lang w:val="en-US" w:eastAsia="zh-CN"/>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8"/>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09" w:hRule="atLeast"/>
          <w:jc w:val="center"/>
        </w:trPr>
        <w:tc>
          <w:tcPr>
            <w:tcW w:w="9288" w:type="dxa"/>
            <w:vAlign w:val="top"/>
          </w:tcPr>
          <w:p>
            <w:pPr>
              <w:pStyle w:val="5"/>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pPr>
              <w:pStyle w:val="5"/>
              <w:pageBreakBefore w:val="0"/>
              <w:widowControl/>
              <w:numPr>
                <w:ilvl w:val="0"/>
                <w:numId w:val="3"/>
              </w:numPr>
              <w:kinsoku/>
              <w:wordWrap/>
              <w:overflowPunct/>
              <w:topLinePunct w:val="0"/>
              <w:autoSpaceDE/>
              <w:autoSpaceDN/>
              <w:bidi w:val="0"/>
              <w:adjustRightInd/>
              <w:snapToGrid/>
              <w:spacing w:before="0" w:beforeLines="0" w:after="0" w:afterLines="0" w:line="520" w:lineRule="exact"/>
              <w:ind w:left="-40" w:leftChars="0" w:firstLine="480" w:firstLineChars="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本项目非膨胀型防火涂料生产线颗粒物排放浓度在3.4-4.1</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之间，膨胀型防火涂料生产线颗粒物排放浓度在3.6-4.1</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之间，满足《涂料、油墨及胶粘剂工业大气污染物排放标准》（GB37824-2019）表2排放要求（20mg/m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）和《重污染天气重点行业应急减排措施制定技术指南》（2020年修订版）- 涂料制造企业绩效分级A级要求（10mg/m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），同时满足《新乡市生态环境局关于进一步规范工业企业颗粒物排放限值的通知》排放要求（10mg/m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eastAsia" w:ascii="Times New Roman" w:hAnsi="Times New Roman" w:eastAsia="宋体" w:cs="Times New Roman"/>
                <w:color w:val="000000"/>
                <w:sz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无组织废气中</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在0.241</w:t>
            </w:r>
            <w:r>
              <w:rPr>
                <w:rFonts w:hint="eastAsia" w:ascii="Times New Roman" w:hAnsi="Times New Roman" w:eastAsia="宋体" w:cs="Times New Roman"/>
                <w:sz w:val="24"/>
                <w:szCs w:val="24"/>
                <w:vertAlign w:val="baseline"/>
                <w:lang w:val="en-US" w:eastAsia="zh-CN"/>
              </w:rPr>
              <w:t>-0.341</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满足《新乡市生态环境局关于进一步规范工业企业颗粒物排放限值的通知》排放要求（0.5mg/m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pPr>
              <w:pageBreakBefore w:val="0"/>
              <w:widowControl/>
              <w:numPr>
                <w:ilvl w:val="0"/>
                <w:numId w:val="3"/>
              </w:numPr>
              <w:kinsoku/>
              <w:wordWrap/>
              <w:overflowPunct/>
              <w:topLinePunct w:val="0"/>
              <w:autoSpaceDE/>
              <w:autoSpaceDN/>
              <w:bidi w:val="0"/>
              <w:adjustRightInd/>
              <w:snapToGrid/>
              <w:spacing w:after="0" w:afterLines="0" w:line="520" w:lineRule="exact"/>
              <w:ind w:left="-40" w:leftChars="0" w:firstLine="480" w:firstLineChars="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生活污水经厂区化粪池处理后COD为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134-156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545.9-61.4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46-58</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氨氮为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3.35-3.61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、总氮为6.59-7.11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、总磷为1.02-1.13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mg/L均满足《污水综合排放标准》（GB8978-1996）表4三级标准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和长垣市第一污水处理厂收水标准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pageBreakBefore w:val="0"/>
              <w:widowControl/>
              <w:numPr>
                <w:ilvl w:val="0"/>
                <w:numId w:val="3"/>
              </w:numPr>
              <w:kinsoku/>
              <w:wordWrap/>
              <w:overflowPunct/>
              <w:topLinePunct w:val="0"/>
              <w:autoSpaceDE/>
              <w:autoSpaceDN/>
              <w:bidi w:val="0"/>
              <w:adjustRightInd/>
              <w:snapToGrid/>
              <w:spacing w:after="0" w:afterLines="0" w:line="520" w:lineRule="exact"/>
              <w:ind w:left="-40" w:leftChars="0" w:firstLine="480" w:firstLineChars="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dB（A）之间，夜间噪声在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46</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pPr>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仿宋_GB2312" w:cs="Times New Roman"/>
                <w:color w:val="FF0000"/>
                <w:sz w:val="24"/>
                <w:szCs w:val="24"/>
                <w:lang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pPr>
              <w:pageBreakBefore w:val="0"/>
              <w:widowControl w:val="0"/>
              <w:kinsoku/>
              <w:wordWrap/>
              <w:overflowPunct/>
              <w:topLinePunct w:val="0"/>
              <w:autoSpaceDE/>
              <w:autoSpaceDN/>
              <w:bidi w:val="0"/>
              <w:adjustRightInd/>
              <w:snapToGrid/>
              <w:spacing w:after="0" w:afterLines="0" w:line="360" w:lineRule="auto"/>
              <w:jc w:val="both"/>
              <w:textAlignment w:val="auto"/>
              <w:rPr>
                <w:rFonts w:hint="default" w:ascii="Times New Roman" w:hAnsi="Times New Roman" w:eastAsia="仿宋_GB2312" w:cs="Times New Roman"/>
                <w:color w:val="FF0000"/>
                <w:sz w:val="24"/>
                <w:szCs w:val="24"/>
                <w:lang w:val="en-US" w:eastAsia="zh-CN"/>
              </w:rPr>
            </w:pPr>
          </w:p>
        </w:tc>
      </w:tr>
    </w:tbl>
    <w:p>
      <w:pPr>
        <w:pStyle w:val="3"/>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 xml:space="preserve">填表单位（盖章）： </w:t>
      </w:r>
      <w:r>
        <w:rPr>
          <w:color w:val="auto"/>
          <w:sz w:val="24"/>
        </w:rPr>
        <w:t>河南</w:t>
      </w:r>
      <w:r>
        <w:rPr>
          <w:rFonts w:hint="eastAsia"/>
          <w:color w:val="auto"/>
          <w:sz w:val="24"/>
        </w:rPr>
        <w:t>省洪杉新材料</w:t>
      </w:r>
      <w:r>
        <w:rPr>
          <w:color w:val="auto"/>
          <w:sz w:val="24"/>
        </w:rPr>
        <w:t>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8"/>
        <w:tblW w:w="21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621"/>
        <w:gridCol w:w="1781"/>
        <w:gridCol w:w="977"/>
        <w:gridCol w:w="1684"/>
        <w:gridCol w:w="1379"/>
        <w:gridCol w:w="1434"/>
        <w:gridCol w:w="1362"/>
        <w:gridCol w:w="1460"/>
        <w:gridCol w:w="1307"/>
        <w:gridCol w:w="1625"/>
        <w:gridCol w:w="1329"/>
        <w:gridCol w:w="1900"/>
        <w:gridCol w:w="161"/>
        <w:gridCol w:w="696"/>
        <w:gridCol w:w="383"/>
        <w:gridCol w:w="135"/>
        <w:gridCol w:w="1329"/>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40" w:type="dxa"/>
            <w:vMerge w:val="restart"/>
            <w:shd w:val="clear" w:color="auto" w:fill="auto"/>
            <w:textDirection w:val="tbRlV"/>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6836"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年产4800吨水性钢结构防火涂料项目（一期）</w:t>
            </w:r>
          </w:p>
        </w:tc>
        <w:tc>
          <w:tcPr>
            <w:tcW w:w="2767"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项目代码</w:t>
            </w:r>
          </w:p>
        </w:tc>
        <w:tc>
          <w:tcPr>
            <w:tcW w:w="2954" w:type="dxa"/>
            <w:gridSpan w:val="2"/>
            <w:tcBorders>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rPr>
              <w:t>2306-410728-04-01-740853</w:t>
            </w:r>
          </w:p>
        </w:tc>
        <w:tc>
          <w:tcPr>
            <w:tcW w:w="1900" w:type="dxa"/>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建设地点</w:t>
            </w:r>
          </w:p>
        </w:tc>
        <w:tc>
          <w:tcPr>
            <w:tcW w:w="3444" w:type="dxa"/>
            <w:gridSpan w:val="6"/>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长垣市蒲北防腐蚀及新材料产业园鄱阳湖路与汝河路交叉口向北50米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4"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6836"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C2641  涂料制造</w:t>
            </w:r>
          </w:p>
        </w:tc>
        <w:tc>
          <w:tcPr>
            <w:tcW w:w="2767"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2954"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bCs/>
                <w:color w:val="auto"/>
                <w:sz w:val="18"/>
                <w:szCs w:val="18"/>
              </w:rPr>
            </w:pP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 xml:space="preserve">新建  </w:t>
            </w:r>
            <w:r>
              <w:rPr>
                <w:rFonts w:hint="eastAsia" w:ascii="Times New Roman" w:hAnsi="Times New Roman" w:cs="Times New Roman"/>
                <w:b w:val="0"/>
                <w:bCs/>
                <w:color w:val="auto"/>
                <w:sz w:val="18"/>
                <w:szCs w:val="18"/>
                <w:lang w:eastAsia="zh-CN"/>
              </w:rPr>
              <w:t>☑</w:t>
            </w:r>
            <w:r>
              <w:rPr>
                <w:rFonts w:hint="default" w:ascii="Times New Roman" w:hAnsi="Times New Roman" w:cs="Times New Roman"/>
                <w:b w:val="0"/>
                <w:bCs/>
                <w:color w:val="auto"/>
                <w:sz w:val="18"/>
                <w:szCs w:val="18"/>
              </w:rPr>
              <w:t>改扩建 技术改造</w:t>
            </w:r>
          </w:p>
        </w:tc>
        <w:tc>
          <w:tcPr>
            <w:tcW w:w="2757" w:type="dxa"/>
            <w:gridSpan w:val="3"/>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东经114 度 38 分 27.690 秒</w:t>
            </w:r>
          </w:p>
        </w:tc>
        <w:tc>
          <w:tcPr>
            <w:tcW w:w="2587" w:type="dxa"/>
            <w:gridSpan w:val="4"/>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北纬35 度 12 分 40.923 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6836"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年产4800吨水性钢结构防火涂料</w:t>
            </w:r>
          </w:p>
        </w:tc>
        <w:tc>
          <w:tcPr>
            <w:tcW w:w="2767"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2954" w:type="dxa"/>
            <w:gridSpan w:val="2"/>
            <w:tcBorders>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color w:val="auto"/>
                <w:sz w:val="24"/>
                <w:lang w:val="en-US" w:eastAsia="zh-CN"/>
              </w:rPr>
            </w:pPr>
            <w:r>
              <w:rPr>
                <w:rFonts w:hint="eastAsia" w:ascii="Times New Roman" w:hAnsi="Times New Roman" w:cs="Times New Roman" w:eastAsiaTheme="minorEastAsia"/>
                <w:b w:val="0"/>
                <w:color w:val="auto"/>
                <w:sz w:val="18"/>
                <w:szCs w:val="18"/>
                <w:lang w:val="en-US" w:eastAsia="zh-CN"/>
              </w:rPr>
              <w:t>年产2500吨水性钢结构防火涂料</w:t>
            </w:r>
          </w:p>
        </w:tc>
        <w:tc>
          <w:tcPr>
            <w:tcW w:w="2061"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3283" w:type="dxa"/>
            <w:gridSpan w:val="5"/>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河南秋晟环境科技有限公司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6836"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新乡市生态环境局长垣分局</w:t>
            </w:r>
          </w:p>
        </w:tc>
        <w:tc>
          <w:tcPr>
            <w:tcW w:w="2767"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2954" w:type="dxa"/>
            <w:gridSpan w:val="2"/>
            <w:tcBorders>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长环审（</w:t>
            </w:r>
            <w:r>
              <w:rPr>
                <w:rFonts w:hint="eastAsia" w:ascii="Times New Roman" w:hAnsi="Times New Roman" w:cs="Times New Roman" w:eastAsiaTheme="minorEastAsia"/>
                <w:b w:val="0"/>
                <w:color w:val="auto"/>
                <w:sz w:val="18"/>
                <w:szCs w:val="18"/>
                <w:lang w:val="en-US" w:eastAsia="zh-CN" w:bidi="ar-SA"/>
              </w:rPr>
              <w:t>2023</w:t>
            </w:r>
            <w:r>
              <w:rPr>
                <w:rFonts w:hint="default" w:ascii="Times New Roman" w:hAnsi="Times New Roman" w:cs="Times New Roman" w:eastAsiaTheme="minorEastAsia"/>
                <w:b w:val="0"/>
                <w:color w:val="auto"/>
                <w:sz w:val="18"/>
                <w:szCs w:val="18"/>
                <w:lang w:val="en-US" w:eastAsia="zh-CN" w:bidi="ar-SA"/>
              </w:rPr>
              <w:t>）</w:t>
            </w:r>
            <w:r>
              <w:rPr>
                <w:rFonts w:hint="eastAsia" w:ascii="Times New Roman" w:hAnsi="Times New Roman" w:cs="Times New Roman" w:eastAsiaTheme="minorEastAsia"/>
                <w:b w:val="0"/>
                <w:color w:val="auto"/>
                <w:sz w:val="18"/>
                <w:szCs w:val="18"/>
                <w:lang w:val="en-US" w:eastAsia="zh-CN" w:bidi="ar-SA"/>
              </w:rPr>
              <w:t>50</w:t>
            </w:r>
            <w:r>
              <w:rPr>
                <w:rFonts w:hint="default" w:ascii="Times New Roman" w:hAnsi="Times New Roman" w:cs="Times New Roman" w:eastAsiaTheme="minorEastAsia"/>
                <w:b w:val="0"/>
                <w:color w:val="auto"/>
                <w:sz w:val="18"/>
                <w:szCs w:val="18"/>
                <w:lang w:val="en-US" w:eastAsia="zh-CN" w:bidi="ar-SA"/>
              </w:rPr>
              <w:t>号</w:t>
            </w:r>
          </w:p>
        </w:tc>
        <w:tc>
          <w:tcPr>
            <w:tcW w:w="2061"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3283" w:type="dxa"/>
            <w:gridSpan w:val="5"/>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6836"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20</w:t>
            </w:r>
            <w:r>
              <w:rPr>
                <w:rFonts w:hint="eastAsia" w:ascii="Times New Roman" w:hAnsi="Times New Roman" w:cs="Times New Roman" w:eastAsiaTheme="minorEastAsia"/>
                <w:b w:val="0"/>
                <w:color w:val="auto"/>
                <w:sz w:val="18"/>
                <w:szCs w:val="18"/>
                <w:lang w:val="en-US" w:eastAsia="zh-CN" w:bidi="ar-SA"/>
              </w:rPr>
              <w:t>23</w:t>
            </w:r>
            <w:r>
              <w:rPr>
                <w:rFonts w:hint="default" w:ascii="Times New Roman" w:hAnsi="Times New Roman" w:cs="Times New Roman" w:eastAsiaTheme="minorEastAsia"/>
                <w:b w:val="0"/>
                <w:color w:val="auto"/>
                <w:sz w:val="18"/>
                <w:szCs w:val="18"/>
                <w:lang w:val="en-US" w:eastAsia="zh-CN" w:bidi="ar-SA"/>
              </w:rPr>
              <w:t>年</w:t>
            </w:r>
            <w:r>
              <w:rPr>
                <w:rFonts w:hint="eastAsia" w:ascii="Times New Roman" w:hAnsi="Times New Roman" w:cs="Times New Roman" w:eastAsiaTheme="minorEastAsia"/>
                <w:b w:val="0"/>
                <w:color w:val="auto"/>
                <w:sz w:val="18"/>
                <w:szCs w:val="18"/>
                <w:lang w:val="en-US" w:eastAsia="zh-CN" w:bidi="ar-SA"/>
              </w:rPr>
              <w:t>9月</w:t>
            </w:r>
          </w:p>
        </w:tc>
        <w:tc>
          <w:tcPr>
            <w:tcW w:w="2767"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2954"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20</w:t>
            </w:r>
            <w:r>
              <w:rPr>
                <w:rFonts w:hint="eastAsia" w:ascii="Times New Roman" w:hAnsi="Times New Roman" w:cs="Times New Roman" w:eastAsiaTheme="minorEastAsia"/>
                <w:b w:val="0"/>
                <w:color w:val="auto"/>
                <w:sz w:val="18"/>
                <w:szCs w:val="18"/>
                <w:lang w:val="en-US" w:eastAsia="zh-CN" w:bidi="ar-SA"/>
              </w:rPr>
              <w:t>24</w:t>
            </w:r>
            <w:r>
              <w:rPr>
                <w:rFonts w:hint="default" w:ascii="Times New Roman" w:hAnsi="Times New Roman" w:cs="Times New Roman" w:eastAsiaTheme="minorEastAsia"/>
                <w:b w:val="0"/>
                <w:color w:val="auto"/>
                <w:sz w:val="18"/>
                <w:szCs w:val="18"/>
                <w:lang w:val="en-US" w:eastAsia="zh-CN" w:bidi="ar-SA"/>
              </w:rPr>
              <w:t>年</w:t>
            </w:r>
            <w:r>
              <w:rPr>
                <w:rFonts w:hint="eastAsia" w:ascii="Times New Roman" w:hAnsi="Times New Roman" w:cs="Times New Roman" w:eastAsiaTheme="minorEastAsia"/>
                <w:b w:val="0"/>
                <w:color w:val="auto"/>
                <w:sz w:val="18"/>
                <w:szCs w:val="18"/>
                <w:lang w:val="en-US" w:eastAsia="zh-CN" w:bidi="ar-SA"/>
              </w:rPr>
              <w:t>3</w:t>
            </w:r>
            <w:r>
              <w:rPr>
                <w:rFonts w:hint="default" w:ascii="Times New Roman" w:hAnsi="Times New Roman" w:cs="Times New Roman" w:eastAsiaTheme="minorEastAsia"/>
                <w:b w:val="0"/>
                <w:color w:val="auto"/>
                <w:sz w:val="18"/>
                <w:szCs w:val="18"/>
                <w:lang w:val="en-US" w:eastAsia="zh-CN" w:bidi="ar-SA"/>
              </w:rPr>
              <w:t>月</w:t>
            </w:r>
          </w:p>
        </w:tc>
        <w:tc>
          <w:tcPr>
            <w:tcW w:w="2061" w:type="dxa"/>
            <w:gridSpan w:val="2"/>
            <w:tcBorders>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3283" w:type="dxa"/>
            <w:gridSpan w:val="5"/>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2022年8月22日（首次申领），2024年3月21日完成变更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6836"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w:t>
            </w:r>
          </w:p>
        </w:tc>
        <w:tc>
          <w:tcPr>
            <w:tcW w:w="2767" w:type="dxa"/>
            <w:gridSpan w:val="2"/>
            <w:tcBorders>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2954"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w:t>
            </w:r>
          </w:p>
        </w:tc>
        <w:tc>
          <w:tcPr>
            <w:tcW w:w="2061"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3283"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91410728MA9K7PN71Q001U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6836"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河南省洪杉新材料有限公司</w:t>
            </w:r>
            <w:r>
              <w:rPr>
                <w:rFonts w:hint="default" w:ascii="Times New Roman" w:hAnsi="Times New Roman" w:cs="Times New Roman" w:eastAsiaTheme="minorEastAsia"/>
                <w:b w:val="0"/>
                <w:color w:val="auto"/>
                <w:sz w:val="18"/>
                <w:szCs w:val="18"/>
                <w:lang w:val="en-US" w:eastAsia="zh-CN" w:bidi="ar-SA"/>
              </w:rPr>
              <w:t xml:space="preserve">  </w:t>
            </w:r>
          </w:p>
        </w:tc>
        <w:tc>
          <w:tcPr>
            <w:tcW w:w="2767" w:type="dxa"/>
            <w:gridSpan w:val="2"/>
            <w:tcBorders>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2954" w:type="dxa"/>
            <w:gridSpan w:val="2"/>
            <w:shd w:val="clear" w:color="auto" w:fill="auto"/>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山东尚水检测有限公司</w:t>
            </w:r>
          </w:p>
        </w:tc>
        <w:tc>
          <w:tcPr>
            <w:tcW w:w="2061"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3283"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6836"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230</w:t>
            </w:r>
          </w:p>
        </w:tc>
        <w:tc>
          <w:tcPr>
            <w:tcW w:w="2767"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2954"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10</w:t>
            </w:r>
          </w:p>
        </w:tc>
        <w:tc>
          <w:tcPr>
            <w:tcW w:w="2061"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3283" w:type="dxa"/>
            <w:gridSpan w:val="5"/>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6836" w:type="dxa"/>
            <w:gridSpan w:val="5"/>
            <w:tcBorders>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150</w:t>
            </w:r>
          </w:p>
        </w:tc>
        <w:tc>
          <w:tcPr>
            <w:tcW w:w="2767" w:type="dxa"/>
            <w:gridSpan w:val="2"/>
            <w:tcBorders>
              <w:top w:val="single" w:color="auto" w:sz="4" w:space="0"/>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环保投资（万元）*</w:t>
            </w:r>
          </w:p>
        </w:tc>
        <w:tc>
          <w:tcPr>
            <w:tcW w:w="2954" w:type="dxa"/>
            <w:gridSpan w:val="2"/>
            <w:tcBorders>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10</w:t>
            </w:r>
          </w:p>
        </w:tc>
        <w:tc>
          <w:tcPr>
            <w:tcW w:w="2061" w:type="dxa"/>
            <w:gridSpan w:val="2"/>
            <w:tcBorders>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283" w:type="dxa"/>
            <w:gridSpan w:val="5"/>
            <w:tcBorders>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977" w:type="dxa"/>
            <w:tcBorders>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1</w:t>
            </w:r>
          </w:p>
        </w:tc>
        <w:tc>
          <w:tcPr>
            <w:tcW w:w="1684" w:type="dxa"/>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1379" w:type="dxa"/>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6</w:t>
            </w:r>
          </w:p>
        </w:tc>
        <w:tc>
          <w:tcPr>
            <w:tcW w:w="1434" w:type="dxa"/>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1362" w:type="dxa"/>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2</w:t>
            </w:r>
          </w:p>
        </w:tc>
        <w:tc>
          <w:tcPr>
            <w:tcW w:w="2767"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2954"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1</w:t>
            </w:r>
          </w:p>
        </w:tc>
        <w:tc>
          <w:tcPr>
            <w:tcW w:w="2061"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1214" w:type="dxa"/>
            <w:gridSpan w:val="3"/>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1329" w:type="dxa"/>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740" w:type="dxa"/>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trPr>
        <w:tc>
          <w:tcPr>
            <w:tcW w:w="840" w:type="dxa"/>
            <w:vMerge w:val="continue"/>
            <w:tcBorders>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tcBorders>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6836" w:type="dxa"/>
            <w:gridSpan w:val="5"/>
            <w:tcBorders>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2767"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2954"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2061"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3283" w:type="dxa"/>
            <w:gridSpan w:val="5"/>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3242" w:type="dxa"/>
            <w:gridSpan w:val="3"/>
            <w:tcBorders>
              <w:top w:val="single" w:color="auto" w:sz="4" w:space="0"/>
              <w:bottom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运营单位</w:t>
            </w:r>
          </w:p>
        </w:tc>
        <w:tc>
          <w:tcPr>
            <w:tcW w:w="2661" w:type="dxa"/>
            <w:gridSpan w:val="2"/>
            <w:tcBorders>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河南省洪杉新材料有限公司</w:t>
            </w:r>
            <w:r>
              <w:rPr>
                <w:rFonts w:hint="default" w:ascii="Times New Roman" w:hAnsi="Times New Roman" w:cs="Times New Roman"/>
                <w:b w:val="0"/>
                <w:color w:val="auto"/>
                <w:sz w:val="18"/>
                <w:szCs w:val="18"/>
                <w:lang w:val="en-US" w:eastAsia="zh-CN"/>
              </w:rPr>
              <w:t xml:space="preserve">  </w:t>
            </w:r>
          </w:p>
        </w:tc>
        <w:tc>
          <w:tcPr>
            <w:tcW w:w="6942" w:type="dxa"/>
            <w:gridSpan w:val="5"/>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2954"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91410728MA9K7PN71Q</w:t>
            </w:r>
          </w:p>
        </w:tc>
        <w:tc>
          <w:tcPr>
            <w:tcW w:w="2061" w:type="dxa"/>
            <w:gridSpan w:val="2"/>
            <w:tcBorders>
              <w:left w:val="single" w:color="auto" w:sz="4" w:space="0"/>
              <w:righ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3283" w:type="dxa"/>
            <w:gridSpan w:val="5"/>
            <w:tcBorders>
              <w:left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2024年5月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840" w:type="dxa"/>
            <w:vMerge w:val="restart"/>
            <w:tcBorders>
              <w:top w:val="nil"/>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2402" w:type="dxa"/>
            <w:gridSpan w:val="2"/>
            <w:tcBorders>
              <w:top w:val="single" w:color="auto" w:sz="4" w:space="0"/>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977"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1684"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1379"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1434"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1362"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1460"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本期工程实际排放量（6）</w:t>
            </w:r>
          </w:p>
        </w:tc>
        <w:tc>
          <w:tcPr>
            <w:tcW w:w="1307"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1625"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1329"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2061"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1079"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2204" w:type="dxa"/>
            <w:gridSpan w:val="3"/>
            <w:tcBorders>
              <w:top w:val="nil"/>
            </w:tcBorders>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977" w:type="dxa"/>
            <w:shd w:val="clear" w:color="auto" w:fill="auto"/>
            <w:vAlign w:val="center"/>
          </w:tcPr>
          <w:p>
            <w:pPr>
              <w:pStyle w:val="37"/>
              <w:spacing w:beforeLines="0" w:afterLines="0" w:line="240" w:lineRule="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0.0147</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0.00288</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0.0177</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0.0069</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0.0012</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0.0081</w:t>
            </w:r>
          </w:p>
        </w:tc>
        <w:tc>
          <w:tcPr>
            <w:tcW w:w="2061" w:type="dxa"/>
            <w:gridSpan w:val="2"/>
            <w:shd w:val="clear" w:color="auto" w:fill="auto"/>
            <w:vAlign w:val="center"/>
          </w:tcPr>
          <w:p>
            <w:pPr>
              <w:keepNext/>
              <w:keepLines w:val="0"/>
              <w:pageBreakBefore w:val="0"/>
              <w:widowControl/>
              <w:kinsoku/>
              <w:wordWrap/>
              <w:overflowPunct/>
              <w:topLinePunct w:val="0"/>
              <w:autoSpaceDE/>
              <w:autoSpaceDN/>
              <w:bidi w:val="0"/>
              <w:adjustRightInd/>
              <w:snapToGrid/>
              <w:spacing w:beforeLines="0" w:after="0" w:afterLines="0" w:line="240" w:lineRule="auto"/>
              <w:jc w:val="center"/>
              <w:textAlignment w:val="baseline"/>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0.00066</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0.00011</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0.00077</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restart"/>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81"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0.396</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0.396</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97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0.0951</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10</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0.047</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0.1421</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977"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977"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840"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621" w:type="dxa"/>
            <w:vMerge w:val="continue"/>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781"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977"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pPr>
              <w:pStyle w:val="5"/>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pPr>
              <w:pStyle w:val="32"/>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3"/>
          <w:rFonts w:hint="default" w:ascii="Times New Roman" w:hAnsi="Times New Roman" w:cs="Times New Roman" w:eastAsiaTheme="minorEastAsia"/>
          <w:b/>
          <w:bCs/>
          <w:color w:val="auto"/>
          <w:sz w:val="30"/>
          <w:szCs w:val="30"/>
          <w:lang w:val="en-US" w:eastAsia="zh-CN"/>
        </w:rPr>
      </w:pPr>
      <w:r>
        <w:rPr>
          <w:rStyle w:val="33"/>
          <w:rFonts w:hint="default" w:ascii="Times New Roman" w:hAnsi="Times New Roman" w:cs="Times New Roman" w:eastAsiaTheme="minorEastAsia"/>
          <w:b/>
          <w:bCs/>
          <w:color w:val="auto"/>
          <w:sz w:val="30"/>
          <w:szCs w:val="30"/>
          <w:lang w:val="en-US" w:eastAsia="zh-CN"/>
        </w:rPr>
        <w:t>附图一 项目地理位置图</w:t>
      </w:r>
    </w:p>
    <w:p>
      <w:pPr>
        <w:pStyle w:val="3"/>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6"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8"/>
        </w:rPr>
        <mc:AlternateContent>
          <mc:Choice Requires="wps">
            <w:drawing>
              <wp:anchor distT="0" distB="0" distL="114300" distR="114300" simplePos="0" relativeHeight="251660288" behindDoc="0" locked="0" layoutInCell="1" allowOverlap="1">
                <wp:simplePos x="0" y="0"/>
                <wp:positionH relativeFrom="column">
                  <wp:posOffset>85090</wp:posOffset>
                </wp:positionH>
                <wp:positionV relativeFrom="paragraph">
                  <wp:posOffset>50165</wp:posOffset>
                </wp:positionV>
                <wp:extent cx="5621020" cy="8025130"/>
                <wp:effectExtent l="6350" t="6350" r="11430" b="7620"/>
                <wp:wrapNone/>
                <wp:docPr id="47" name="矩形 47"/>
                <wp:cNvGraphicFramePr/>
                <a:graphic xmlns:a="http://schemas.openxmlformats.org/drawingml/2006/main">
                  <a:graphicData uri="http://schemas.microsoft.com/office/word/2010/wordprocessingShape">
                    <wps:wsp>
                      <wps:cNvSpPr/>
                      <wps:spPr>
                        <a:xfrm>
                          <a:off x="3604260" y="1595120"/>
                          <a:ext cx="5621020" cy="802513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pt;margin-top:3.95pt;height:631.9pt;width:442.6pt;z-index:251660288;v-text-anchor:middle;mso-width-relative:page;mso-height-relative:page;" filled="f" stroked="t" coordsize="21600,21600" o:gfxdata="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TMD43dgAAAAJAQAADwAAAAAAAAABACAAAAAiAAAAZHJz&#10;L2Rvd25yZXYueG1sUEsBAhQAFAAAAAgAh07iQMZgNix2AgAA2gQAAA4AAAAAAAAAAQAgAAAAJwEA&#10;AGRycy9lMm9Eb2MueG1sUEsFBgAAAAAGAAYAWQEAAA8GAAAAAA==&#10;">
                <v:fill on="f" focussize="0,0"/>
                <v:stroke weight="1pt" color="#000000 [3213]" miterlimit="8" joinstyle="miter"/>
                <v:imagedata o:title=""/>
                <o:lock v:ext="edit" aspectratio="f"/>
              </v:rect>
            </w:pict>
          </mc:Fallback>
        </mc:AlternateContent>
      </w:r>
      <w:r>
        <w:drawing>
          <wp:inline distT="0" distB="0" distL="114300" distR="114300">
            <wp:extent cx="5634355" cy="8053705"/>
            <wp:effectExtent l="0" t="0" r="4445" b="444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0"/>
                    <a:stretch>
                      <a:fillRect/>
                    </a:stretch>
                  </pic:blipFill>
                  <pic:spPr>
                    <a:xfrm>
                      <a:off x="0" y="0"/>
                      <a:ext cx="5634355" cy="805370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pPr>
        <w:jc w:val="cente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153275" cy="4943475"/>
            <wp:effectExtent l="0" t="0" r="9525" b="952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1"/>
                    <a:stretch>
                      <a:fillRect/>
                    </a:stretch>
                  </pic:blipFill>
                  <pic:spPr>
                    <a:xfrm>
                      <a:off x="0" y="0"/>
                      <a:ext cx="7153275" cy="4943475"/>
                    </a:xfrm>
                    <a:prstGeom prst="rect">
                      <a:avLst/>
                    </a:prstGeom>
                    <a:noFill/>
                    <a:ln>
                      <a:noFill/>
                    </a:ln>
                  </pic:spPr>
                </pic:pic>
              </a:graphicData>
            </a:graphic>
          </wp:inline>
        </w:drawing>
      </w:r>
    </w:p>
    <w:p>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eastAsia"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t>附图三 项目平面布置图</w:t>
      </w:r>
    </w:p>
    <w:p>
      <w:pPr>
        <w:jc w:val="center"/>
        <w:rPr>
          <w:rFonts w:hint="default"/>
          <w:lang w:val="en-US" w:eastAsia="zh-CN"/>
        </w:rPr>
      </w:pPr>
      <w:r>
        <w:drawing>
          <wp:inline distT="0" distB="0" distL="114300" distR="114300">
            <wp:extent cx="7861300" cy="5260340"/>
            <wp:effectExtent l="0" t="0" r="6350" b="1651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12"/>
                    <a:stretch>
                      <a:fillRect/>
                    </a:stretch>
                  </pic:blipFill>
                  <pic:spPr>
                    <a:xfrm>
                      <a:off x="0" y="0"/>
                      <a:ext cx="7861300" cy="5260340"/>
                    </a:xfrm>
                    <a:prstGeom prst="rect">
                      <a:avLst/>
                    </a:prstGeom>
                    <a:noFill/>
                    <a:ln>
                      <a:noFill/>
                    </a:ln>
                  </pic:spPr>
                </pic:pic>
              </a:graphicData>
            </a:graphic>
          </wp:inline>
        </w:drawing>
      </w:r>
    </w:p>
    <w:p>
      <w:pPr>
        <w:pStyle w:val="3"/>
        <w:jc w:val="center"/>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534275" cy="5400675"/>
            <wp:effectExtent l="0" t="0" r="9525" b="952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13"/>
                    <a:stretch>
                      <a:fillRect/>
                    </a:stretch>
                  </pic:blipFill>
                  <pic:spPr>
                    <a:xfrm>
                      <a:off x="0" y="0"/>
                      <a:ext cx="7534275" cy="54006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w:t>
      </w:r>
      <w:r>
        <w:rPr>
          <w:rFonts w:hint="default" w:ascii="Times New Roman" w:hAnsi="Times New Roman" w:cs="Times New Roman" w:eastAsiaTheme="minorEastAsia"/>
          <w:b/>
          <w:bCs/>
          <w:color w:val="auto"/>
          <w:kern w:val="44"/>
          <w:sz w:val="30"/>
          <w:szCs w:val="30"/>
          <w:highlight w:val="none"/>
          <w:lang w:val="en-US" w:eastAsia="zh-CN" w:bidi="ar-SA"/>
        </w:rPr>
        <w:t>件</w:t>
      </w:r>
      <w:r>
        <w:rPr>
          <w:rFonts w:hint="eastAsia" w:ascii="Times New Roman" w:hAnsi="Times New Roman" w:cs="Times New Roman" w:eastAsiaTheme="minorEastAsia"/>
          <w:b/>
          <w:bCs/>
          <w:color w:val="auto"/>
          <w:kern w:val="44"/>
          <w:sz w:val="30"/>
          <w:szCs w:val="30"/>
          <w:highlight w:val="none"/>
          <w:lang w:val="en-US" w:eastAsia="zh-CN" w:bidi="ar-SA"/>
        </w:rPr>
        <w:t>1</w:t>
      </w:r>
      <w:r>
        <w:rPr>
          <w:rFonts w:hint="default" w:ascii="Times New Roman" w:hAnsi="Times New Roman" w:cs="Times New Roman" w:eastAsiaTheme="minorEastAsia"/>
          <w:b/>
          <w:bCs/>
          <w:color w:val="auto"/>
          <w:kern w:val="44"/>
          <w:sz w:val="30"/>
          <w:szCs w:val="30"/>
          <w:highlight w:val="none"/>
          <w:lang w:val="en-US" w:eastAsia="zh-CN" w:bidi="ar-SA"/>
        </w:rPr>
        <w:t xml:space="preserve"> 环境影响评价批复</w:t>
      </w:r>
    </w:p>
    <w:p>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eastAsia="宋体"/>
          <w:lang w:eastAsia="zh-CN"/>
        </w:rPr>
        <w:drawing>
          <wp:inline distT="0" distB="0" distL="114300" distR="114300">
            <wp:extent cx="5574665" cy="7948930"/>
            <wp:effectExtent l="0" t="0" r="6985" b="13970"/>
            <wp:docPr id="19" name="图片 12" descr="钢结构涂料批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钢结构涂料批复"/>
                    <pic:cNvPicPr>
                      <a:picLocks noChangeAspect="1"/>
                    </pic:cNvPicPr>
                  </pic:nvPicPr>
                  <pic:blipFill>
                    <a:blip r:embed="rId14"/>
                    <a:stretch>
                      <a:fillRect/>
                    </a:stretch>
                  </pic:blipFill>
                  <pic:spPr>
                    <a:xfrm>
                      <a:off x="0" y="0"/>
                      <a:ext cx="5574665" cy="7948930"/>
                    </a:xfrm>
                    <a:prstGeom prst="rect">
                      <a:avLst/>
                    </a:prstGeom>
                    <a:noFill/>
                    <a:ln>
                      <a:noFill/>
                    </a:ln>
                  </pic:spPr>
                </pic:pic>
              </a:graphicData>
            </a:graphic>
          </wp:inline>
        </w:drawing>
      </w:r>
    </w:p>
    <w:p>
      <w:pPr>
        <w:pStyle w:val="2"/>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2</w:t>
      </w:r>
      <w:r>
        <w:rPr>
          <w:rFonts w:hint="eastAsia" w:ascii="Times New Roman" w:hAnsi="Times New Roman" w:cs="Times New Roman" w:eastAsiaTheme="minorEastAsia"/>
          <w:b/>
          <w:bCs/>
          <w:color w:val="auto"/>
          <w:kern w:val="44"/>
          <w:sz w:val="30"/>
          <w:szCs w:val="30"/>
          <w:lang w:val="en-US" w:eastAsia="zh-CN" w:bidi="ar-SA"/>
        </w:rPr>
        <w:t xml:space="preserve"> </w:t>
      </w:r>
      <w:r>
        <w:rPr>
          <w:rFonts w:hint="eastAsia" w:ascii="Times New Roman" w:cs="Times New Roman" w:eastAsiaTheme="minorEastAsia"/>
          <w:b/>
          <w:bCs/>
          <w:color w:val="auto"/>
          <w:kern w:val="44"/>
          <w:sz w:val="30"/>
          <w:szCs w:val="30"/>
          <w:lang w:val="en-US" w:eastAsia="zh-CN" w:bidi="ar-SA"/>
        </w:rPr>
        <w:t>排污许可证</w:t>
      </w:r>
    </w:p>
    <w:p>
      <w:pPr>
        <w:pStyle w:val="23"/>
        <w:rPr>
          <w:rFonts w:hint="default"/>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7251065" cy="5166995"/>
            <wp:effectExtent l="0" t="0" r="6985" b="1460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5"/>
                    <a:stretch>
                      <a:fillRect/>
                    </a:stretch>
                  </pic:blipFill>
                  <pic:spPr>
                    <a:xfrm>
                      <a:off x="0" y="0"/>
                      <a:ext cx="7251065" cy="5166995"/>
                    </a:xfrm>
                    <a:prstGeom prst="rect">
                      <a:avLst/>
                    </a:prstGeom>
                    <a:noFill/>
                    <a:ln>
                      <a:noFill/>
                    </a:ln>
                  </pic:spPr>
                </pic:pic>
              </a:graphicData>
            </a:graphic>
          </wp:inline>
        </w:drawing>
      </w:r>
    </w:p>
    <w:p>
      <w:pPr>
        <w:pStyle w:val="2"/>
        <w:jc w:val="both"/>
        <w:rPr>
          <w:rFonts w:hint="default"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w:t>
      </w:r>
      <w:r>
        <w:rPr>
          <w:rFonts w:hint="default" w:ascii="Times New Roman" w:hAnsi="Times New Roman" w:cs="Times New Roman" w:eastAsiaTheme="minorEastAsia"/>
          <w:b/>
          <w:bCs/>
          <w:color w:val="auto"/>
          <w:kern w:val="44"/>
          <w:sz w:val="30"/>
          <w:szCs w:val="30"/>
          <w:lang w:val="en-US" w:eastAsia="zh-CN" w:bidi="ar-SA"/>
        </w:rPr>
        <w:t>验收</w:t>
      </w:r>
      <w:r>
        <w:rPr>
          <w:rFonts w:hint="eastAsia" w:ascii="Times New Roman" w:hAnsi="Times New Roman" w:cs="Times New Roman" w:eastAsiaTheme="minorEastAsia"/>
          <w:b/>
          <w:bCs/>
          <w:color w:val="auto"/>
          <w:kern w:val="44"/>
          <w:sz w:val="30"/>
          <w:szCs w:val="30"/>
          <w:lang w:val="en-US" w:eastAsia="zh-CN" w:bidi="ar-SA"/>
        </w:rPr>
        <w:t>检测</w:t>
      </w:r>
      <w:r>
        <w:rPr>
          <w:rFonts w:hint="default" w:ascii="Times New Roman" w:hAnsi="Times New Roman" w:cs="Times New Roman" w:eastAsiaTheme="minorEastAsia"/>
          <w:b/>
          <w:bCs/>
          <w:color w:val="auto"/>
          <w:kern w:val="44"/>
          <w:sz w:val="30"/>
          <w:szCs w:val="30"/>
          <w:lang w:val="en-US" w:eastAsia="zh-CN" w:bidi="ar-SA"/>
        </w:rPr>
        <w:t>单位资质证书</w:t>
      </w:r>
    </w:p>
    <w:p>
      <w:pPr>
        <w:pStyle w:val="2"/>
        <w:jc w:val="cente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36590" cy="8083550"/>
            <wp:effectExtent l="0" t="0" r="16510" b="1270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
                    <pic:cNvPicPr>
                      <a:picLocks noChangeAspect="1"/>
                    </pic:cNvPicPr>
                  </pic:nvPicPr>
                  <pic:blipFill>
                    <a:blip r:embed="rId16"/>
                    <a:stretch>
                      <a:fillRect/>
                    </a:stretch>
                  </pic:blipFill>
                  <pic:spPr>
                    <a:xfrm>
                      <a:off x="0" y="0"/>
                      <a:ext cx="5736590" cy="8083550"/>
                    </a:xfrm>
                    <a:prstGeom prst="rect">
                      <a:avLst/>
                    </a:prstGeom>
                    <a:noFill/>
                    <a:ln>
                      <a:noFill/>
                    </a:ln>
                  </pic:spPr>
                </pic:pic>
              </a:graphicData>
            </a:graphic>
          </wp:inline>
        </w:drawing>
      </w:r>
    </w:p>
    <w:p>
      <w:pPr>
        <w:pStyle w:val="2"/>
        <w:jc w:val="both"/>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4 </w:t>
      </w:r>
      <w:r>
        <w:rPr>
          <w:rFonts w:hint="eastAsia" w:ascii="Times New Roman" w:hAnsi="Times New Roman" w:cs="Times New Roman" w:eastAsiaTheme="minorEastAsia"/>
          <w:b/>
          <w:bCs/>
          <w:color w:val="auto"/>
          <w:kern w:val="44"/>
          <w:sz w:val="30"/>
          <w:szCs w:val="30"/>
          <w:highlight w:val="none"/>
          <w:lang w:val="en-US" w:eastAsia="zh-CN" w:bidi="ar-SA"/>
        </w:rPr>
        <w:t>验收检测报告</w:t>
      </w:r>
    </w:p>
    <w:p>
      <w:pPr>
        <w:pStyle w:val="2"/>
        <w:jc w:val="center"/>
      </w:pPr>
      <w:r>
        <w:drawing>
          <wp:inline distT="0" distB="0" distL="114300" distR="114300">
            <wp:extent cx="5864225" cy="8306435"/>
            <wp:effectExtent l="0" t="0" r="3175" b="184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7"/>
                    <a:stretch>
                      <a:fillRect/>
                    </a:stretch>
                  </pic:blipFill>
                  <pic:spPr>
                    <a:xfrm>
                      <a:off x="0" y="0"/>
                      <a:ext cx="5864225" cy="8306435"/>
                    </a:xfrm>
                    <a:prstGeom prst="rect">
                      <a:avLst/>
                    </a:prstGeom>
                    <a:noFill/>
                    <a:ln>
                      <a:noFill/>
                    </a:ln>
                  </pic:spPr>
                </pic:pic>
              </a:graphicData>
            </a:graphic>
          </wp:inline>
        </w:drawing>
      </w:r>
    </w:p>
    <w:p>
      <w:pPr>
        <w:pStyle w:val="2"/>
        <w:jc w:val="center"/>
        <w:rPr>
          <w:rFonts w:hint="default"/>
          <w:lang w:val="en-US" w:eastAsia="zh-CN"/>
        </w:rPr>
      </w:pPr>
      <w:r>
        <w:drawing>
          <wp:inline distT="0" distB="0" distL="114300" distR="114300">
            <wp:extent cx="6154420" cy="8717280"/>
            <wp:effectExtent l="0" t="0" r="1778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8"/>
                    <a:stretch>
                      <a:fillRect/>
                    </a:stretch>
                  </pic:blipFill>
                  <pic:spPr>
                    <a:xfrm>
                      <a:off x="0" y="0"/>
                      <a:ext cx="6154420" cy="8717280"/>
                    </a:xfrm>
                    <a:prstGeom prst="rect">
                      <a:avLst/>
                    </a:prstGeom>
                    <a:noFill/>
                    <a:ln>
                      <a:noFill/>
                    </a:ln>
                  </pic:spPr>
                </pic:pic>
              </a:graphicData>
            </a:graphic>
          </wp:inline>
        </w:drawing>
      </w:r>
      <w:r>
        <w:drawing>
          <wp:inline distT="0" distB="0" distL="114300" distR="114300">
            <wp:extent cx="6136005" cy="8645525"/>
            <wp:effectExtent l="0" t="0" r="17145" b="317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9"/>
                    <a:stretch>
                      <a:fillRect/>
                    </a:stretch>
                  </pic:blipFill>
                  <pic:spPr>
                    <a:xfrm>
                      <a:off x="0" y="0"/>
                      <a:ext cx="6136005" cy="8645525"/>
                    </a:xfrm>
                    <a:prstGeom prst="rect">
                      <a:avLst/>
                    </a:prstGeom>
                    <a:noFill/>
                    <a:ln>
                      <a:noFill/>
                    </a:ln>
                  </pic:spPr>
                </pic:pic>
              </a:graphicData>
            </a:graphic>
          </wp:inline>
        </w:drawing>
      </w:r>
      <w:r>
        <w:drawing>
          <wp:inline distT="0" distB="0" distL="114300" distR="114300">
            <wp:extent cx="6221095" cy="8792210"/>
            <wp:effectExtent l="0" t="0" r="8255" b="889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0"/>
                    <a:stretch>
                      <a:fillRect/>
                    </a:stretch>
                  </pic:blipFill>
                  <pic:spPr>
                    <a:xfrm>
                      <a:off x="0" y="0"/>
                      <a:ext cx="6221095" cy="8792210"/>
                    </a:xfrm>
                    <a:prstGeom prst="rect">
                      <a:avLst/>
                    </a:prstGeom>
                    <a:noFill/>
                    <a:ln>
                      <a:noFill/>
                    </a:ln>
                  </pic:spPr>
                </pic:pic>
              </a:graphicData>
            </a:graphic>
          </wp:inline>
        </w:drawing>
      </w:r>
      <w:r>
        <w:drawing>
          <wp:inline distT="0" distB="0" distL="114300" distR="114300">
            <wp:extent cx="6094730" cy="8595360"/>
            <wp:effectExtent l="0" t="0" r="1270" b="1524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1"/>
                    <a:stretch>
                      <a:fillRect/>
                    </a:stretch>
                  </pic:blipFill>
                  <pic:spPr>
                    <a:xfrm>
                      <a:off x="0" y="0"/>
                      <a:ext cx="6094730" cy="8595360"/>
                    </a:xfrm>
                    <a:prstGeom prst="rect">
                      <a:avLst/>
                    </a:prstGeom>
                    <a:noFill/>
                    <a:ln>
                      <a:noFill/>
                    </a:ln>
                  </pic:spPr>
                </pic:pic>
              </a:graphicData>
            </a:graphic>
          </wp:inline>
        </w:drawing>
      </w:r>
      <w:r>
        <w:drawing>
          <wp:inline distT="0" distB="0" distL="114300" distR="114300">
            <wp:extent cx="6202680" cy="8771255"/>
            <wp:effectExtent l="0" t="0" r="7620" b="1079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2"/>
                    <a:stretch>
                      <a:fillRect/>
                    </a:stretch>
                  </pic:blipFill>
                  <pic:spPr>
                    <a:xfrm>
                      <a:off x="0" y="0"/>
                      <a:ext cx="6202680" cy="8771255"/>
                    </a:xfrm>
                    <a:prstGeom prst="rect">
                      <a:avLst/>
                    </a:prstGeom>
                    <a:noFill/>
                    <a:ln>
                      <a:noFill/>
                    </a:ln>
                  </pic:spPr>
                </pic:pic>
              </a:graphicData>
            </a:graphic>
          </wp:inline>
        </w:drawing>
      </w:r>
      <w:r>
        <w:drawing>
          <wp:inline distT="0" distB="0" distL="114300" distR="114300">
            <wp:extent cx="6056630" cy="8618855"/>
            <wp:effectExtent l="0" t="0" r="1270" b="1079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3"/>
                    <a:stretch>
                      <a:fillRect/>
                    </a:stretch>
                  </pic:blipFill>
                  <pic:spPr>
                    <a:xfrm>
                      <a:off x="0" y="0"/>
                      <a:ext cx="6056630" cy="8618855"/>
                    </a:xfrm>
                    <a:prstGeom prst="rect">
                      <a:avLst/>
                    </a:prstGeom>
                    <a:noFill/>
                    <a:ln>
                      <a:noFill/>
                    </a:ln>
                  </pic:spPr>
                </pic:pic>
              </a:graphicData>
            </a:graphic>
          </wp:inline>
        </w:drawing>
      </w:r>
      <w:r>
        <w:drawing>
          <wp:inline distT="0" distB="0" distL="114300" distR="114300">
            <wp:extent cx="6167120" cy="8716010"/>
            <wp:effectExtent l="0" t="0" r="5080" b="889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4"/>
                    <a:stretch>
                      <a:fillRect/>
                    </a:stretch>
                  </pic:blipFill>
                  <pic:spPr>
                    <a:xfrm>
                      <a:off x="0" y="0"/>
                      <a:ext cx="6167120" cy="8716010"/>
                    </a:xfrm>
                    <a:prstGeom prst="rect">
                      <a:avLst/>
                    </a:prstGeom>
                    <a:noFill/>
                    <a:ln>
                      <a:noFill/>
                    </a:ln>
                  </pic:spPr>
                </pic:pic>
              </a:graphicData>
            </a:graphic>
          </wp:inline>
        </w:drawing>
      </w:r>
      <w:r>
        <w:drawing>
          <wp:inline distT="0" distB="0" distL="114300" distR="114300">
            <wp:extent cx="6189345" cy="8782050"/>
            <wp:effectExtent l="0" t="0" r="1905" b="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5"/>
                    <a:stretch>
                      <a:fillRect/>
                    </a:stretch>
                  </pic:blipFill>
                  <pic:spPr>
                    <a:xfrm>
                      <a:off x="0" y="0"/>
                      <a:ext cx="6189345" cy="8782050"/>
                    </a:xfrm>
                    <a:prstGeom prst="rect">
                      <a:avLst/>
                    </a:prstGeom>
                    <a:noFill/>
                    <a:ln>
                      <a:noFill/>
                    </a:ln>
                  </pic:spPr>
                </pic:pic>
              </a:graphicData>
            </a:graphic>
          </wp:inline>
        </w:drawing>
      </w:r>
      <w:r>
        <w:drawing>
          <wp:inline distT="0" distB="0" distL="114300" distR="114300">
            <wp:extent cx="5581650" cy="7896225"/>
            <wp:effectExtent l="0" t="0" r="0" b="952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6"/>
                    <a:stretch>
                      <a:fillRect/>
                    </a:stretch>
                  </pic:blipFill>
                  <pic:spPr>
                    <a:xfrm>
                      <a:off x="0" y="0"/>
                      <a:ext cx="5581650" cy="7896225"/>
                    </a:xfrm>
                    <a:prstGeom prst="rect">
                      <a:avLst/>
                    </a:prstGeom>
                    <a:noFill/>
                    <a:ln>
                      <a:noFill/>
                    </a:ln>
                  </pic:spPr>
                </pic:pic>
              </a:graphicData>
            </a:graphic>
          </wp:inline>
        </w:drawing>
      </w:r>
      <w:r>
        <w:drawing>
          <wp:inline distT="0" distB="0" distL="114300" distR="114300">
            <wp:extent cx="6263640" cy="8783320"/>
            <wp:effectExtent l="0" t="0" r="3810" b="1778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27"/>
                    <a:stretch>
                      <a:fillRect/>
                    </a:stretch>
                  </pic:blipFill>
                  <pic:spPr>
                    <a:xfrm>
                      <a:off x="0" y="0"/>
                      <a:ext cx="6263640" cy="8783320"/>
                    </a:xfrm>
                    <a:prstGeom prst="rect">
                      <a:avLst/>
                    </a:prstGeom>
                    <a:noFill/>
                    <a:ln>
                      <a:noFill/>
                    </a:ln>
                  </pic:spPr>
                </pic:pic>
              </a:graphicData>
            </a:graphic>
          </wp:inline>
        </w:drawing>
      </w:r>
      <w:r>
        <w:drawing>
          <wp:inline distT="0" distB="0" distL="114300" distR="114300">
            <wp:extent cx="6269990" cy="8844915"/>
            <wp:effectExtent l="0" t="0" r="16510" b="1333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28"/>
                    <a:stretch>
                      <a:fillRect/>
                    </a:stretch>
                  </pic:blipFill>
                  <pic:spPr>
                    <a:xfrm>
                      <a:off x="0" y="0"/>
                      <a:ext cx="6269990" cy="8844915"/>
                    </a:xfrm>
                    <a:prstGeom prst="rect">
                      <a:avLst/>
                    </a:prstGeom>
                    <a:noFill/>
                    <a:ln>
                      <a:noFill/>
                    </a:ln>
                  </pic:spPr>
                </pic:pic>
              </a:graphicData>
            </a:graphic>
          </wp:inline>
        </w:drawing>
      </w:r>
      <w:r>
        <w:drawing>
          <wp:inline distT="0" distB="0" distL="114300" distR="114300">
            <wp:extent cx="6146800" cy="8703310"/>
            <wp:effectExtent l="0" t="0" r="6350" b="2540"/>
            <wp:docPr id="4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pic:cNvPicPr>
                      <a:picLocks noChangeAspect="1"/>
                    </pic:cNvPicPr>
                  </pic:nvPicPr>
                  <pic:blipFill>
                    <a:blip r:embed="rId29"/>
                    <a:stretch>
                      <a:fillRect/>
                    </a:stretch>
                  </pic:blipFill>
                  <pic:spPr>
                    <a:xfrm>
                      <a:off x="0" y="0"/>
                      <a:ext cx="6146800" cy="8703310"/>
                    </a:xfrm>
                    <a:prstGeom prst="rect">
                      <a:avLst/>
                    </a:prstGeom>
                    <a:noFill/>
                    <a:ln>
                      <a:noFill/>
                    </a:ln>
                  </pic:spPr>
                </pic:pic>
              </a:graphicData>
            </a:graphic>
          </wp:inline>
        </w:drawing>
      </w: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489D5E97"/>
    <w:multiLevelType w:val="singleLevel"/>
    <w:tmpl w:val="489D5E97"/>
    <w:lvl w:ilvl="0" w:tentative="0">
      <w:start w:val="1"/>
      <w:numFmt w:val="decimal"/>
      <w:suff w:val="nothing"/>
      <w:lvlText w:val="%1、"/>
      <w:lvlJc w:val="left"/>
      <w:pPr>
        <w:ind w:left="-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zMzJlNWIxYmJkMjA5Yjc4ZTFlNWVkMTBkMmE5NTYifQ=="/>
  </w:docVars>
  <w:rsids>
    <w:rsidRoot w:val="3F4B1CA0"/>
    <w:rsid w:val="000C024B"/>
    <w:rsid w:val="000D75DB"/>
    <w:rsid w:val="00186BF0"/>
    <w:rsid w:val="00356250"/>
    <w:rsid w:val="003C11CB"/>
    <w:rsid w:val="00537B50"/>
    <w:rsid w:val="00665BAD"/>
    <w:rsid w:val="00705104"/>
    <w:rsid w:val="00753C1F"/>
    <w:rsid w:val="00867FFD"/>
    <w:rsid w:val="00A43006"/>
    <w:rsid w:val="00A46FB1"/>
    <w:rsid w:val="00B604CD"/>
    <w:rsid w:val="00B92359"/>
    <w:rsid w:val="00B92BAA"/>
    <w:rsid w:val="00C81E23"/>
    <w:rsid w:val="00E049A6"/>
    <w:rsid w:val="0100390C"/>
    <w:rsid w:val="011D08BD"/>
    <w:rsid w:val="012242D3"/>
    <w:rsid w:val="01260E98"/>
    <w:rsid w:val="01320D0D"/>
    <w:rsid w:val="01400C4A"/>
    <w:rsid w:val="015058A7"/>
    <w:rsid w:val="01515CA4"/>
    <w:rsid w:val="01650568"/>
    <w:rsid w:val="016D5F40"/>
    <w:rsid w:val="017E63B3"/>
    <w:rsid w:val="018A7679"/>
    <w:rsid w:val="019458FC"/>
    <w:rsid w:val="01C16C2C"/>
    <w:rsid w:val="01D07FD8"/>
    <w:rsid w:val="01D54ECF"/>
    <w:rsid w:val="01E274B5"/>
    <w:rsid w:val="01E6100D"/>
    <w:rsid w:val="01E95BE8"/>
    <w:rsid w:val="01ED27B3"/>
    <w:rsid w:val="01F36FCC"/>
    <w:rsid w:val="022928A2"/>
    <w:rsid w:val="023D46EC"/>
    <w:rsid w:val="02560E5D"/>
    <w:rsid w:val="025E530E"/>
    <w:rsid w:val="026030C8"/>
    <w:rsid w:val="02651E62"/>
    <w:rsid w:val="02733B7E"/>
    <w:rsid w:val="02761592"/>
    <w:rsid w:val="02777083"/>
    <w:rsid w:val="027E055D"/>
    <w:rsid w:val="02833A50"/>
    <w:rsid w:val="028A6FD2"/>
    <w:rsid w:val="0294709C"/>
    <w:rsid w:val="02A97FD3"/>
    <w:rsid w:val="02BA3F8E"/>
    <w:rsid w:val="02BA5D3C"/>
    <w:rsid w:val="02BB454A"/>
    <w:rsid w:val="02BB5CB2"/>
    <w:rsid w:val="02BD45F7"/>
    <w:rsid w:val="02CB0DDA"/>
    <w:rsid w:val="02D52B76"/>
    <w:rsid w:val="02F73C38"/>
    <w:rsid w:val="03022972"/>
    <w:rsid w:val="030651FE"/>
    <w:rsid w:val="031614DD"/>
    <w:rsid w:val="0323236C"/>
    <w:rsid w:val="0335629C"/>
    <w:rsid w:val="03570184"/>
    <w:rsid w:val="036A3FA2"/>
    <w:rsid w:val="03705062"/>
    <w:rsid w:val="03721F68"/>
    <w:rsid w:val="03A05300"/>
    <w:rsid w:val="03B46A51"/>
    <w:rsid w:val="03CC64F1"/>
    <w:rsid w:val="03D34C17"/>
    <w:rsid w:val="03D354A3"/>
    <w:rsid w:val="03EB2BDE"/>
    <w:rsid w:val="03FA20DB"/>
    <w:rsid w:val="03FC5589"/>
    <w:rsid w:val="03FF396C"/>
    <w:rsid w:val="04130F5E"/>
    <w:rsid w:val="041B51EA"/>
    <w:rsid w:val="04260F9E"/>
    <w:rsid w:val="04775247"/>
    <w:rsid w:val="047913C1"/>
    <w:rsid w:val="04BA64C7"/>
    <w:rsid w:val="04C527B1"/>
    <w:rsid w:val="04E17B70"/>
    <w:rsid w:val="04EC4003"/>
    <w:rsid w:val="04FD23E8"/>
    <w:rsid w:val="05107125"/>
    <w:rsid w:val="05117F2B"/>
    <w:rsid w:val="051E7DB2"/>
    <w:rsid w:val="051F6F34"/>
    <w:rsid w:val="052009A9"/>
    <w:rsid w:val="05355B4E"/>
    <w:rsid w:val="053C7961"/>
    <w:rsid w:val="05486A0C"/>
    <w:rsid w:val="05597A8E"/>
    <w:rsid w:val="056A6C7A"/>
    <w:rsid w:val="05740424"/>
    <w:rsid w:val="057874B3"/>
    <w:rsid w:val="058B2441"/>
    <w:rsid w:val="059917F3"/>
    <w:rsid w:val="05A625A8"/>
    <w:rsid w:val="05AD3936"/>
    <w:rsid w:val="05D31443"/>
    <w:rsid w:val="05D46790"/>
    <w:rsid w:val="05D47115"/>
    <w:rsid w:val="05DA4C42"/>
    <w:rsid w:val="05DD3341"/>
    <w:rsid w:val="05E7509A"/>
    <w:rsid w:val="05EB6551"/>
    <w:rsid w:val="060F71C4"/>
    <w:rsid w:val="061053DF"/>
    <w:rsid w:val="06265752"/>
    <w:rsid w:val="062B162F"/>
    <w:rsid w:val="064E0C6B"/>
    <w:rsid w:val="066265E2"/>
    <w:rsid w:val="06782196"/>
    <w:rsid w:val="067A38E7"/>
    <w:rsid w:val="067A717A"/>
    <w:rsid w:val="068621B7"/>
    <w:rsid w:val="068834BD"/>
    <w:rsid w:val="069C71B7"/>
    <w:rsid w:val="06A94649"/>
    <w:rsid w:val="06B036DE"/>
    <w:rsid w:val="06B238FA"/>
    <w:rsid w:val="06B84730"/>
    <w:rsid w:val="06C81892"/>
    <w:rsid w:val="06DD41F9"/>
    <w:rsid w:val="06FA0F5D"/>
    <w:rsid w:val="07195727"/>
    <w:rsid w:val="071D2E61"/>
    <w:rsid w:val="0739666A"/>
    <w:rsid w:val="074A23CE"/>
    <w:rsid w:val="074B2440"/>
    <w:rsid w:val="074F739B"/>
    <w:rsid w:val="07533B82"/>
    <w:rsid w:val="07601E09"/>
    <w:rsid w:val="07626812"/>
    <w:rsid w:val="07825BA3"/>
    <w:rsid w:val="078A7459"/>
    <w:rsid w:val="07917CAA"/>
    <w:rsid w:val="07BF120C"/>
    <w:rsid w:val="07C82CA9"/>
    <w:rsid w:val="07D15676"/>
    <w:rsid w:val="07D93372"/>
    <w:rsid w:val="07D94EB6"/>
    <w:rsid w:val="07F81AAA"/>
    <w:rsid w:val="07F87185"/>
    <w:rsid w:val="08054353"/>
    <w:rsid w:val="083B791F"/>
    <w:rsid w:val="085224A3"/>
    <w:rsid w:val="08730E67"/>
    <w:rsid w:val="087370B9"/>
    <w:rsid w:val="08755683"/>
    <w:rsid w:val="087F3CE9"/>
    <w:rsid w:val="08B976DE"/>
    <w:rsid w:val="08D54A57"/>
    <w:rsid w:val="08E62D28"/>
    <w:rsid w:val="08E81855"/>
    <w:rsid w:val="08EC3DDD"/>
    <w:rsid w:val="08FA1588"/>
    <w:rsid w:val="08FE6BEA"/>
    <w:rsid w:val="08FF5B7A"/>
    <w:rsid w:val="09271C52"/>
    <w:rsid w:val="093911AF"/>
    <w:rsid w:val="095B3E16"/>
    <w:rsid w:val="096A3EEA"/>
    <w:rsid w:val="098004AE"/>
    <w:rsid w:val="09896468"/>
    <w:rsid w:val="099B40A7"/>
    <w:rsid w:val="09AB1B94"/>
    <w:rsid w:val="09B478C0"/>
    <w:rsid w:val="09CA1445"/>
    <w:rsid w:val="09D705CF"/>
    <w:rsid w:val="09D75426"/>
    <w:rsid w:val="09DC2418"/>
    <w:rsid w:val="09E24556"/>
    <w:rsid w:val="09E65669"/>
    <w:rsid w:val="09E7514C"/>
    <w:rsid w:val="09EA59EB"/>
    <w:rsid w:val="0A01246E"/>
    <w:rsid w:val="0A074223"/>
    <w:rsid w:val="0A0A6F8A"/>
    <w:rsid w:val="0A0F6089"/>
    <w:rsid w:val="0A1641A0"/>
    <w:rsid w:val="0A360D3E"/>
    <w:rsid w:val="0A486323"/>
    <w:rsid w:val="0A4F016A"/>
    <w:rsid w:val="0A545A9E"/>
    <w:rsid w:val="0A7109E2"/>
    <w:rsid w:val="0A7A4830"/>
    <w:rsid w:val="0A7E69B5"/>
    <w:rsid w:val="0A976649"/>
    <w:rsid w:val="0AC41E4E"/>
    <w:rsid w:val="0AD23062"/>
    <w:rsid w:val="0AD53B4D"/>
    <w:rsid w:val="0AD55E09"/>
    <w:rsid w:val="0B1960B9"/>
    <w:rsid w:val="0B297898"/>
    <w:rsid w:val="0B31588C"/>
    <w:rsid w:val="0B3C7C36"/>
    <w:rsid w:val="0B442ECB"/>
    <w:rsid w:val="0B740CB4"/>
    <w:rsid w:val="0B8A6610"/>
    <w:rsid w:val="0B8B2FC0"/>
    <w:rsid w:val="0B8E1833"/>
    <w:rsid w:val="0B9A49D2"/>
    <w:rsid w:val="0BA05685"/>
    <w:rsid w:val="0BA6652C"/>
    <w:rsid w:val="0BCA5242"/>
    <w:rsid w:val="0BD17EE0"/>
    <w:rsid w:val="0BD55995"/>
    <w:rsid w:val="0BF73B5D"/>
    <w:rsid w:val="0BFD2E61"/>
    <w:rsid w:val="0C00431D"/>
    <w:rsid w:val="0C0145B8"/>
    <w:rsid w:val="0C032502"/>
    <w:rsid w:val="0C170994"/>
    <w:rsid w:val="0C1C1816"/>
    <w:rsid w:val="0C25691C"/>
    <w:rsid w:val="0C29234F"/>
    <w:rsid w:val="0C2C3201"/>
    <w:rsid w:val="0C3404EB"/>
    <w:rsid w:val="0C483C34"/>
    <w:rsid w:val="0C4B79FF"/>
    <w:rsid w:val="0C4F74F5"/>
    <w:rsid w:val="0C5A2708"/>
    <w:rsid w:val="0C632FA1"/>
    <w:rsid w:val="0C680125"/>
    <w:rsid w:val="0C6B2558"/>
    <w:rsid w:val="0C6B4D57"/>
    <w:rsid w:val="0C6F5686"/>
    <w:rsid w:val="0C77125C"/>
    <w:rsid w:val="0C870A1A"/>
    <w:rsid w:val="0C9D51A9"/>
    <w:rsid w:val="0CA0388E"/>
    <w:rsid w:val="0CB30325"/>
    <w:rsid w:val="0CCC6D98"/>
    <w:rsid w:val="0CDD66B7"/>
    <w:rsid w:val="0CF12D1E"/>
    <w:rsid w:val="0CFA776B"/>
    <w:rsid w:val="0D1132E9"/>
    <w:rsid w:val="0D1A73E8"/>
    <w:rsid w:val="0D243D96"/>
    <w:rsid w:val="0D321420"/>
    <w:rsid w:val="0D3A1302"/>
    <w:rsid w:val="0D470B14"/>
    <w:rsid w:val="0D5C776E"/>
    <w:rsid w:val="0D5D6093"/>
    <w:rsid w:val="0D727C59"/>
    <w:rsid w:val="0D7B050D"/>
    <w:rsid w:val="0D7B7B3D"/>
    <w:rsid w:val="0D806436"/>
    <w:rsid w:val="0D8458C4"/>
    <w:rsid w:val="0D8758C2"/>
    <w:rsid w:val="0D8D69F0"/>
    <w:rsid w:val="0D924CC9"/>
    <w:rsid w:val="0D9D75F0"/>
    <w:rsid w:val="0DB57F52"/>
    <w:rsid w:val="0DCC2747"/>
    <w:rsid w:val="0DD95C10"/>
    <w:rsid w:val="0DE50247"/>
    <w:rsid w:val="0DE819AF"/>
    <w:rsid w:val="0DEF5D38"/>
    <w:rsid w:val="0DF13C5B"/>
    <w:rsid w:val="0DF539EE"/>
    <w:rsid w:val="0DF742E8"/>
    <w:rsid w:val="0E2D2DB4"/>
    <w:rsid w:val="0E3D295E"/>
    <w:rsid w:val="0E4868F2"/>
    <w:rsid w:val="0E4D6A03"/>
    <w:rsid w:val="0E501BC4"/>
    <w:rsid w:val="0E5057A7"/>
    <w:rsid w:val="0E551706"/>
    <w:rsid w:val="0E5F06F5"/>
    <w:rsid w:val="0E6B438E"/>
    <w:rsid w:val="0E6D6359"/>
    <w:rsid w:val="0E6E3866"/>
    <w:rsid w:val="0E795066"/>
    <w:rsid w:val="0E8835C8"/>
    <w:rsid w:val="0E9857BA"/>
    <w:rsid w:val="0EBC4BEA"/>
    <w:rsid w:val="0ED0219A"/>
    <w:rsid w:val="0ED63CEB"/>
    <w:rsid w:val="0EFB2BAE"/>
    <w:rsid w:val="0F1D59AD"/>
    <w:rsid w:val="0F334D8F"/>
    <w:rsid w:val="0F431CDC"/>
    <w:rsid w:val="0F4D2803"/>
    <w:rsid w:val="0F4F25B7"/>
    <w:rsid w:val="0F4F43AA"/>
    <w:rsid w:val="0F4F7C57"/>
    <w:rsid w:val="0F900551"/>
    <w:rsid w:val="0F916077"/>
    <w:rsid w:val="0F957915"/>
    <w:rsid w:val="0FA51A1F"/>
    <w:rsid w:val="0FB75D90"/>
    <w:rsid w:val="0FC4644C"/>
    <w:rsid w:val="0FCC5687"/>
    <w:rsid w:val="0FD21598"/>
    <w:rsid w:val="0FE13FF9"/>
    <w:rsid w:val="0FE97C61"/>
    <w:rsid w:val="0FEF171B"/>
    <w:rsid w:val="0FFF2361"/>
    <w:rsid w:val="103B3222"/>
    <w:rsid w:val="10471EAC"/>
    <w:rsid w:val="10707820"/>
    <w:rsid w:val="107A3BDD"/>
    <w:rsid w:val="10813BF5"/>
    <w:rsid w:val="108D2CE2"/>
    <w:rsid w:val="109127D2"/>
    <w:rsid w:val="109202C7"/>
    <w:rsid w:val="10B5164E"/>
    <w:rsid w:val="10B657AF"/>
    <w:rsid w:val="10BE7517"/>
    <w:rsid w:val="10DD19D6"/>
    <w:rsid w:val="10EC17B7"/>
    <w:rsid w:val="11254CC9"/>
    <w:rsid w:val="114C46F3"/>
    <w:rsid w:val="115D3859"/>
    <w:rsid w:val="116369AF"/>
    <w:rsid w:val="11864F4F"/>
    <w:rsid w:val="11A700D3"/>
    <w:rsid w:val="11AA3420"/>
    <w:rsid w:val="11AA4C45"/>
    <w:rsid w:val="11B81FE1"/>
    <w:rsid w:val="11BA4C1A"/>
    <w:rsid w:val="11C77C3A"/>
    <w:rsid w:val="11DC5CCF"/>
    <w:rsid w:val="11DC7A7D"/>
    <w:rsid w:val="11E0751A"/>
    <w:rsid w:val="12063447"/>
    <w:rsid w:val="120B2110"/>
    <w:rsid w:val="120C43CB"/>
    <w:rsid w:val="121F3E0E"/>
    <w:rsid w:val="12342867"/>
    <w:rsid w:val="12405645"/>
    <w:rsid w:val="125E02D2"/>
    <w:rsid w:val="12916D88"/>
    <w:rsid w:val="12922832"/>
    <w:rsid w:val="1295124C"/>
    <w:rsid w:val="12982F30"/>
    <w:rsid w:val="12AA7B7B"/>
    <w:rsid w:val="12B72298"/>
    <w:rsid w:val="12BB0750"/>
    <w:rsid w:val="12BC78AF"/>
    <w:rsid w:val="12D44BF8"/>
    <w:rsid w:val="12D47F8E"/>
    <w:rsid w:val="12D65128"/>
    <w:rsid w:val="12E5247A"/>
    <w:rsid w:val="12EB3CF0"/>
    <w:rsid w:val="12F048B5"/>
    <w:rsid w:val="12F54B98"/>
    <w:rsid w:val="12FC2D17"/>
    <w:rsid w:val="13023E41"/>
    <w:rsid w:val="131D1A1B"/>
    <w:rsid w:val="13201BEB"/>
    <w:rsid w:val="132C799A"/>
    <w:rsid w:val="13384A4A"/>
    <w:rsid w:val="133B797C"/>
    <w:rsid w:val="135B6DDB"/>
    <w:rsid w:val="13763F01"/>
    <w:rsid w:val="13860AF9"/>
    <w:rsid w:val="13875453"/>
    <w:rsid w:val="139A61D2"/>
    <w:rsid w:val="13A20852"/>
    <w:rsid w:val="13D715A5"/>
    <w:rsid w:val="13ED3B88"/>
    <w:rsid w:val="13F81F53"/>
    <w:rsid w:val="14006EA6"/>
    <w:rsid w:val="140943CC"/>
    <w:rsid w:val="140E2A8A"/>
    <w:rsid w:val="141E76BA"/>
    <w:rsid w:val="14332BE3"/>
    <w:rsid w:val="14414BA5"/>
    <w:rsid w:val="14504752"/>
    <w:rsid w:val="14575036"/>
    <w:rsid w:val="145A6BFB"/>
    <w:rsid w:val="14681327"/>
    <w:rsid w:val="147A08A0"/>
    <w:rsid w:val="1499392C"/>
    <w:rsid w:val="149C6447"/>
    <w:rsid w:val="14BA5FDE"/>
    <w:rsid w:val="14BF5434"/>
    <w:rsid w:val="14C0161F"/>
    <w:rsid w:val="14D464B1"/>
    <w:rsid w:val="14E07535"/>
    <w:rsid w:val="14EB47A4"/>
    <w:rsid w:val="14FB28A9"/>
    <w:rsid w:val="14FE2D3B"/>
    <w:rsid w:val="15010839"/>
    <w:rsid w:val="150E24B2"/>
    <w:rsid w:val="151E63B5"/>
    <w:rsid w:val="152A5EB6"/>
    <w:rsid w:val="15475B55"/>
    <w:rsid w:val="154D0C92"/>
    <w:rsid w:val="154F39A7"/>
    <w:rsid w:val="1555441B"/>
    <w:rsid w:val="15561574"/>
    <w:rsid w:val="155B515D"/>
    <w:rsid w:val="155D7D97"/>
    <w:rsid w:val="15692637"/>
    <w:rsid w:val="158B322B"/>
    <w:rsid w:val="15BD40AF"/>
    <w:rsid w:val="15F3745A"/>
    <w:rsid w:val="15FA6724"/>
    <w:rsid w:val="1609105D"/>
    <w:rsid w:val="16261794"/>
    <w:rsid w:val="162912E3"/>
    <w:rsid w:val="16573C58"/>
    <w:rsid w:val="165B7A80"/>
    <w:rsid w:val="165C73DE"/>
    <w:rsid w:val="16673E9F"/>
    <w:rsid w:val="16845A6A"/>
    <w:rsid w:val="16907088"/>
    <w:rsid w:val="16A20B69"/>
    <w:rsid w:val="16B630CB"/>
    <w:rsid w:val="16BA5943"/>
    <w:rsid w:val="16D06A17"/>
    <w:rsid w:val="16E00024"/>
    <w:rsid w:val="16E11AC0"/>
    <w:rsid w:val="16EC3324"/>
    <w:rsid w:val="17057E6B"/>
    <w:rsid w:val="171F32E7"/>
    <w:rsid w:val="172E6FA3"/>
    <w:rsid w:val="17326502"/>
    <w:rsid w:val="173F31BB"/>
    <w:rsid w:val="17521694"/>
    <w:rsid w:val="17752631"/>
    <w:rsid w:val="17921886"/>
    <w:rsid w:val="17947E66"/>
    <w:rsid w:val="179D2269"/>
    <w:rsid w:val="17A821AF"/>
    <w:rsid w:val="17AE40A0"/>
    <w:rsid w:val="17AF1881"/>
    <w:rsid w:val="17B0317C"/>
    <w:rsid w:val="17B1375A"/>
    <w:rsid w:val="17CE60BA"/>
    <w:rsid w:val="17D11706"/>
    <w:rsid w:val="180132C6"/>
    <w:rsid w:val="18112A52"/>
    <w:rsid w:val="18160155"/>
    <w:rsid w:val="18222D5D"/>
    <w:rsid w:val="18424E0A"/>
    <w:rsid w:val="184B14B9"/>
    <w:rsid w:val="188B3FAB"/>
    <w:rsid w:val="18956BD8"/>
    <w:rsid w:val="18A2565D"/>
    <w:rsid w:val="18C35823"/>
    <w:rsid w:val="18CD0120"/>
    <w:rsid w:val="18D82DB7"/>
    <w:rsid w:val="18DE13E4"/>
    <w:rsid w:val="18EB5087"/>
    <w:rsid w:val="1902441F"/>
    <w:rsid w:val="19094ED0"/>
    <w:rsid w:val="191B3A83"/>
    <w:rsid w:val="19255993"/>
    <w:rsid w:val="192B7810"/>
    <w:rsid w:val="194A79C2"/>
    <w:rsid w:val="195C5DF6"/>
    <w:rsid w:val="1966641E"/>
    <w:rsid w:val="196975F0"/>
    <w:rsid w:val="197832BB"/>
    <w:rsid w:val="198625A9"/>
    <w:rsid w:val="19991A84"/>
    <w:rsid w:val="19C257AA"/>
    <w:rsid w:val="19FE41A5"/>
    <w:rsid w:val="19FF59D9"/>
    <w:rsid w:val="1A27476F"/>
    <w:rsid w:val="1A29696B"/>
    <w:rsid w:val="1A2C6C3F"/>
    <w:rsid w:val="1A395FBE"/>
    <w:rsid w:val="1A420550"/>
    <w:rsid w:val="1A4B1C44"/>
    <w:rsid w:val="1A4E703E"/>
    <w:rsid w:val="1A4F6C3A"/>
    <w:rsid w:val="1A5102D0"/>
    <w:rsid w:val="1A580E57"/>
    <w:rsid w:val="1A691D3B"/>
    <w:rsid w:val="1A6E4B25"/>
    <w:rsid w:val="1A75281D"/>
    <w:rsid w:val="1A9C249F"/>
    <w:rsid w:val="1A9F1C68"/>
    <w:rsid w:val="1AAC7AD1"/>
    <w:rsid w:val="1AAE21D3"/>
    <w:rsid w:val="1ADD6614"/>
    <w:rsid w:val="1AE43D03"/>
    <w:rsid w:val="1AE73258"/>
    <w:rsid w:val="1B1868FB"/>
    <w:rsid w:val="1B3A3A66"/>
    <w:rsid w:val="1B604BE3"/>
    <w:rsid w:val="1B6B3C20"/>
    <w:rsid w:val="1B735E51"/>
    <w:rsid w:val="1B8A79FA"/>
    <w:rsid w:val="1B8B42C2"/>
    <w:rsid w:val="1BA15893"/>
    <w:rsid w:val="1BAE7E82"/>
    <w:rsid w:val="1BB35356"/>
    <w:rsid w:val="1BC26C2B"/>
    <w:rsid w:val="1BC6330C"/>
    <w:rsid w:val="1BCB2807"/>
    <w:rsid w:val="1BD72F5A"/>
    <w:rsid w:val="1BE06769"/>
    <w:rsid w:val="1BE7599C"/>
    <w:rsid w:val="1BE870EB"/>
    <w:rsid w:val="1BE96BCA"/>
    <w:rsid w:val="1BF061A7"/>
    <w:rsid w:val="1BF21985"/>
    <w:rsid w:val="1BF260EF"/>
    <w:rsid w:val="1BF66460"/>
    <w:rsid w:val="1BF94531"/>
    <w:rsid w:val="1C1C4F1A"/>
    <w:rsid w:val="1C296277"/>
    <w:rsid w:val="1C2D0AB9"/>
    <w:rsid w:val="1C445043"/>
    <w:rsid w:val="1C5D0453"/>
    <w:rsid w:val="1C5F78F0"/>
    <w:rsid w:val="1C686368"/>
    <w:rsid w:val="1C7C2C7F"/>
    <w:rsid w:val="1C890801"/>
    <w:rsid w:val="1C984856"/>
    <w:rsid w:val="1C9F0B9D"/>
    <w:rsid w:val="1CA64ACA"/>
    <w:rsid w:val="1CB670DF"/>
    <w:rsid w:val="1CBB31A7"/>
    <w:rsid w:val="1CF404C8"/>
    <w:rsid w:val="1CFC0128"/>
    <w:rsid w:val="1D206525"/>
    <w:rsid w:val="1D293D92"/>
    <w:rsid w:val="1D2B18A6"/>
    <w:rsid w:val="1D37025D"/>
    <w:rsid w:val="1D382954"/>
    <w:rsid w:val="1D62374A"/>
    <w:rsid w:val="1D7768AC"/>
    <w:rsid w:val="1D7E40DE"/>
    <w:rsid w:val="1D8E081D"/>
    <w:rsid w:val="1D94745E"/>
    <w:rsid w:val="1D9D796C"/>
    <w:rsid w:val="1DA3702D"/>
    <w:rsid w:val="1DB87F26"/>
    <w:rsid w:val="1DC43032"/>
    <w:rsid w:val="1DC75107"/>
    <w:rsid w:val="1DCF0496"/>
    <w:rsid w:val="1DED3182"/>
    <w:rsid w:val="1DFC41C4"/>
    <w:rsid w:val="1DFD1F9B"/>
    <w:rsid w:val="1E03131E"/>
    <w:rsid w:val="1E1E766F"/>
    <w:rsid w:val="1E1F7EEC"/>
    <w:rsid w:val="1E2270F0"/>
    <w:rsid w:val="1E3D0E98"/>
    <w:rsid w:val="1E4522E8"/>
    <w:rsid w:val="1E4E7081"/>
    <w:rsid w:val="1E504393"/>
    <w:rsid w:val="1E5071A5"/>
    <w:rsid w:val="1E6854F8"/>
    <w:rsid w:val="1E96080C"/>
    <w:rsid w:val="1EA638ED"/>
    <w:rsid w:val="1EAA758E"/>
    <w:rsid w:val="1EBB4293"/>
    <w:rsid w:val="1EC65731"/>
    <w:rsid w:val="1ECD32A4"/>
    <w:rsid w:val="1EE261C9"/>
    <w:rsid w:val="1EFD43C6"/>
    <w:rsid w:val="1F070103"/>
    <w:rsid w:val="1F1C00A9"/>
    <w:rsid w:val="1F23503F"/>
    <w:rsid w:val="1F294332"/>
    <w:rsid w:val="1F2A5F36"/>
    <w:rsid w:val="1F2B49D6"/>
    <w:rsid w:val="1F2F44F0"/>
    <w:rsid w:val="1F3507CD"/>
    <w:rsid w:val="1F3C3740"/>
    <w:rsid w:val="1F5E012B"/>
    <w:rsid w:val="1F8A4FBC"/>
    <w:rsid w:val="1F8E0312"/>
    <w:rsid w:val="1F93030E"/>
    <w:rsid w:val="1F9F1CA0"/>
    <w:rsid w:val="1FD01001"/>
    <w:rsid w:val="1FD96803"/>
    <w:rsid w:val="1FE741BD"/>
    <w:rsid w:val="1FF5799B"/>
    <w:rsid w:val="200C185A"/>
    <w:rsid w:val="200E7555"/>
    <w:rsid w:val="201C3E3A"/>
    <w:rsid w:val="202574F9"/>
    <w:rsid w:val="202F3999"/>
    <w:rsid w:val="20370574"/>
    <w:rsid w:val="204D7D98"/>
    <w:rsid w:val="204F1D62"/>
    <w:rsid w:val="206C6470"/>
    <w:rsid w:val="207B759F"/>
    <w:rsid w:val="20895AA2"/>
    <w:rsid w:val="20970344"/>
    <w:rsid w:val="209D5060"/>
    <w:rsid w:val="20A47F19"/>
    <w:rsid w:val="20AA4060"/>
    <w:rsid w:val="20BE4604"/>
    <w:rsid w:val="20BF1915"/>
    <w:rsid w:val="20D307A1"/>
    <w:rsid w:val="20D379AA"/>
    <w:rsid w:val="20E06E5E"/>
    <w:rsid w:val="20E51A10"/>
    <w:rsid w:val="20EB2E11"/>
    <w:rsid w:val="20FA7F20"/>
    <w:rsid w:val="210C3822"/>
    <w:rsid w:val="21130D7D"/>
    <w:rsid w:val="21130FE1"/>
    <w:rsid w:val="2125401F"/>
    <w:rsid w:val="212C6029"/>
    <w:rsid w:val="21311DFD"/>
    <w:rsid w:val="213F7ED4"/>
    <w:rsid w:val="21541DEF"/>
    <w:rsid w:val="21645329"/>
    <w:rsid w:val="21741D06"/>
    <w:rsid w:val="219F2875"/>
    <w:rsid w:val="21A0740D"/>
    <w:rsid w:val="21A24B1D"/>
    <w:rsid w:val="21B7404D"/>
    <w:rsid w:val="21CE6B4C"/>
    <w:rsid w:val="21D23AB1"/>
    <w:rsid w:val="21D249F9"/>
    <w:rsid w:val="21D26EA7"/>
    <w:rsid w:val="21DE626B"/>
    <w:rsid w:val="21E06B2C"/>
    <w:rsid w:val="21E36C06"/>
    <w:rsid w:val="21E43094"/>
    <w:rsid w:val="22032E04"/>
    <w:rsid w:val="222A326B"/>
    <w:rsid w:val="222C1D58"/>
    <w:rsid w:val="22401962"/>
    <w:rsid w:val="224D70E7"/>
    <w:rsid w:val="225821CD"/>
    <w:rsid w:val="226A0BEC"/>
    <w:rsid w:val="22717857"/>
    <w:rsid w:val="228F2A6B"/>
    <w:rsid w:val="229D6DA2"/>
    <w:rsid w:val="22A146F2"/>
    <w:rsid w:val="22C30D9A"/>
    <w:rsid w:val="22DB6593"/>
    <w:rsid w:val="22E2680E"/>
    <w:rsid w:val="22E744D4"/>
    <w:rsid w:val="22F627E4"/>
    <w:rsid w:val="230079B7"/>
    <w:rsid w:val="231132FF"/>
    <w:rsid w:val="23137077"/>
    <w:rsid w:val="2338088B"/>
    <w:rsid w:val="234052AD"/>
    <w:rsid w:val="2342170A"/>
    <w:rsid w:val="234436D4"/>
    <w:rsid w:val="234E00AF"/>
    <w:rsid w:val="236A4649"/>
    <w:rsid w:val="23792F65"/>
    <w:rsid w:val="237E2C27"/>
    <w:rsid w:val="23804366"/>
    <w:rsid w:val="23D031BA"/>
    <w:rsid w:val="24053A6E"/>
    <w:rsid w:val="24083192"/>
    <w:rsid w:val="240B2444"/>
    <w:rsid w:val="24155071"/>
    <w:rsid w:val="241F66D6"/>
    <w:rsid w:val="243A5D93"/>
    <w:rsid w:val="243E6375"/>
    <w:rsid w:val="245F7D01"/>
    <w:rsid w:val="247179A7"/>
    <w:rsid w:val="2483022C"/>
    <w:rsid w:val="24B31C9A"/>
    <w:rsid w:val="24B45395"/>
    <w:rsid w:val="24C35FFD"/>
    <w:rsid w:val="250255F5"/>
    <w:rsid w:val="250A2D61"/>
    <w:rsid w:val="251C53CB"/>
    <w:rsid w:val="252227D8"/>
    <w:rsid w:val="25257535"/>
    <w:rsid w:val="2544142D"/>
    <w:rsid w:val="255C655B"/>
    <w:rsid w:val="2561056D"/>
    <w:rsid w:val="2562197E"/>
    <w:rsid w:val="256516E0"/>
    <w:rsid w:val="257162D7"/>
    <w:rsid w:val="257E64F7"/>
    <w:rsid w:val="259B44F8"/>
    <w:rsid w:val="25A8302D"/>
    <w:rsid w:val="25AB2CCB"/>
    <w:rsid w:val="25C1100C"/>
    <w:rsid w:val="25C841C8"/>
    <w:rsid w:val="25DD396C"/>
    <w:rsid w:val="25F3318F"/>
    <w:rsid w:val="25FA62CC"/>
    <w:rsid w:val="26123616"/>
    <w:rsid w:val="26163F80"/>
    <w:rsid w:val="261C26E6"/>
    <w:rsid w:val="262212E9"/>
    <w:rsid w:val="26241FF4"/>
    <w:rsid w:val="26325A66"/>
    <w:rsid w:val="26342D4C"/>
    <w:rsid w:val="265C6FB2"/>
    <w:rsid w:val="265E4AAD"/>
    <w:rsid w:val="267C0A39"/>
    <w:rsid w:val="268D7C97"/>
    <w:rsid w:val="26B26BA7"/>
    <w:rsid w:val="26B45E5C"/>
    <w:rsid w:val="26BB1EFF"/>
    <w:rsid w:val="26C64400"/>
    <w:rsid w:val="26D1527F"/>
    <w:rsid w:val="26D60FBC"/>
    <w:rsid w:val="26E31456"/>
    <w:rsid w:val="270F48B4"/>
    <w:rsid w:val="27182EAE"/>
    <w:rsid w:val="271B4EC1"/>
    <w:rsid w:val="271E3CE2"/>
    <w:rsid w:val="27230743"/>
    <w:rsid w:val="2726516C"/>
    <w:rsid w:val="27313F6F"/>
    <w:rsid w:val="273812F8"/>
    <w:rsid w:val="274962F7"/>
    <w:rsid w:val="274A1860"/>
    <w:rsid w:val="27741B53"/>
    <w:rsid w:val="277450D6"/>
    <w:rsid w:val="277734B7"/>
    <w:rsid w:val="27805529"/>
    <w:rsid w:val="27817719"/>
    <w:rsid w:val="2783435E"/>
    <w:rsid w:val="27A504B9"/>
    <w:rsid w:val="2807090F"/>
    <w:rsid w:val="280746CD"/>
    <w:rsid w:val="28101DD7"/>
    <w:rsid w:val="28105227"/>
    <w:rsid w:val="282B4E63"/>
    <w:rsid w:val="285479CD"/>
    <w:rsid w:val="285857A7"/>
    <w:rsid w:val="28650375"/>
    <w:rsid w:val="28723AB4"/>
    <w:rsid w:val="287F6F5C"/>
    <w:rsid w:val="28907385"/>
    <w:rsid w:val="2894416C"/>
    <w:rsid w:val="28945A4B"/>
    <w:rsid w:val="289573E9"/>
    <w:rsid w:val="28A77D79"/>
    <w:rsid w:val="28A82CA7"/>
    <w:rsid w:val="28DD1DED"/>
    <w:rsid w:val="28F12740"/>
    <w:rsid w:val="28FC235B"/>
    <w:rsid w:val="29177195"/>
    <w:rsid w:val="291E1EF7"/>
    <w:rsid w:val="29233D8C"/>
    <w:rsid w:val="29276C0F"/>
    <w:rsid w:val="292813A2"/>
    <w:rsid w:val="2940049A"/>
    <w:rsid w:val="29535F85"/>
    <w:rsid w:val="29561485"/>
    <w:rsid w:val="296D0128"/>
    <w:rsid w:val="296D5007"/>
    <w:rsid w:val="296E4F42"/>
    <w:rsid w:val="29746395"/>
    <w:rsid w:val="297A3EDD"/>
    <w:rsid w:val="29AA70BF"/>
    <w:rsid w:val="29C462AA"/>
    <w:rsid w:val="29C64ABB"/>
    <w:rsid w:val="29D10C3C"/>
    <w:rsid w:val="2A0531CF"/>
    <w:rsid w:val="2A0B4F4C"/>
    <w:rsid w:val="2A111E36"/>
    <w:rsid w:val="2A14038D"/>
    <w:rsid w:val="2A197E92"/>
    <w:rsid w:val="2A24600D"/>
    <w:rsid w:val="2A36189D"/>
    <w:rsid w:val="2A3B16C9"/>
    <w:rsid w:val="2A3C627B"/>
    <w:rsid w:val="2A4117B7"/>
    <w:rsid w:val="2A463335"/>
    <w:rsid w:val="2A4E39FF"/>
    <w:rsid w:val="2A4E54E8"/>
    <w:rsid w:val="2A4F3BBF"/>
    <w:rsid w:val="2A592168"/>
    <w:rsid w:val="2A5D1E46"/>
    <w:rsid w:val="2A634893"/>
    <w:rsid w:val="2A791292"/>
    <w:rsid w:val="2A813D65"/>
    <w:rsid w:val="2A9F38E6"/>
    <w:rsid w:val="2AA333D6"/>
    <w:rsid w:val="2AA763D5"/>
    <w:rsid w:val="2AB32EED"/>
    <w:rsid w:val="2AC770AF"/>
    <w:rsid w:val="2ACD65FF"/>
    <w:rsid w:val="2AD94D7A"/>
    <w:rsid w:val="2ADE3668"/>
    <w:rsid w:val="2B033456"/>
    <w:rsid w:val="2B035C23"/>
    <w:rsid w:val="2B0A0D5F"/>
    <w:rsid w:val="2B0D6F83"/>
    <w:rsid w:val="2B147BF3"/>
    <w:rsid w:val="2B1778FA"/>
    <w:rsid w:val="2B2100D0"/>
    <w:rsid w:val="2B4B71CC"/>
    <w:rsid w:val="2B517B37"/>
    <w:rsid w:val="2B5D79E0"/>
    <w:rsid w:val="2B747640"/>
    <w:rsid w:val="2B9F4EB9"/>
    <w:rsid w:val="2BA2543C"/>
    <w:rsid w:val="2BA50A88"/>
    <w:rsid w:val="2BA70B16"/>
    <w:rsid w:val="2BB720E5"/>
    <w:rsid w:val="2BB771B1"/>
    <w:rsid w:val="2BB807BB"/>
    <w:rsid w:val="2BBA1425"/>
    <w:rsid w:val="2BBD2410"/>
    <w:rsid w:val="2BBD6BAC"/>
    <w:rsid w:val="2BD64E19"/>
    <w:rsid w:val="2BD73ADB"/>
    <w:rsid w:val="2BD75238"/>
    <w:rsid w:val="2BDE7D13"/>
    <w:rsid w:val="2BF135D6"/>
    <w:rsid w:val="2BF77448"/>
    <w:rsid w:val="2BF77631"/>
    <w:rsid w:val="2BFE5184"/>
    <w:rsid w:val="2C005DCA"/>
    <w:rsid w:val="2C0D0A34"/>
    <w:rsid w:val="2C0E7918"/>
    <w:rsid w:val="2C11436F"/>
    <w:rsid w:val="2C3A5255"/>
    <w:rsid w:val="2C54208A"/>
    <w:rsid w:val="2C5C2E93"/>
    <w:rsid w:val="2C604FDA"/>
    <w:rsid w:val="2C7B2A34"/>
    <w:rsid w:val="2C7E2C1C"/>
    <w:rsid w:val="2C8114F5"/>
    <w:rsid w:val="2C81312E"/>
    <w:rsid w:val="2C8E15B2"/>
    <w:rsid w:val="2C8F2065"/>
    <w:rsid w:val="2CAA6CDE"/>
    <w:rsid w:val="2CAB6572"/>
    <w:rsid w:val="2CB3174D"/>
    <w:rsid w:val="2CBF577C"/>
    <w:rsid w:val="2CC30D5B"/>
    <w:rsid w:val="2CC66F08"/>
    <w:rsid w:val="2CD755B9"/>
    <w:rsid w:val="2CD8161B"/>
    <w:rsid w:val="2D003462"/>
    <w:rsid w:val="2D0A522F"/>
    <w:rsid w:val="2D0D533B"/>
    <w:rsid w:val="2D1C7470"/>
    <w:rsid w:val="2D2F01DE"/>
    <w:rsid w:val="2D462BD9"/>
    <w:rsid w:val="2D491237"/>
    <w:rsid w:val="2D5A0767"/>
    <w:rsid w:val="2D6F134E"/>
    <w:rsid w:val="2D7E0BA8"/>
    <w:rsid w:val="2D897679"/>
    <w:rsid w:val="2D8A22F6"/>
    <w:rsid w:val="2D9708A4"/>
    <w:rsid w:val="2DB317B9"/>
    <w:rsid w:val="2DC77FA9"/>
    <w:rsid w:val="2DD11B59"/>
    <w:rsid w:val="2DE1756A"/>
    <w:rsid w:val="2DE441C9"/>
    <w:rsid w:val="2DEB60DF"/>
    <w:rsid w:val="2DEF248E"/>
    <w:rsid w:val="2E293BF2"/>
    <w:rsid w:val="2E516CA5"/>
    <w:rsid w:val="2E5549E7"/>
    <w:rsid w:val="2E683000"/>
    <w:rsid w:val="2E683DD6"/>
    <w:rsid w:val="2E726884"/>
    <w:rsid w:val="2E7E7DC6"/>
    <w:rsid w:val="2E9168D0"/>
    <w:rsid w:val="2E9934E3"/>
    <w:rsid w:val="2E9D638E"/>
    <w:rsid w:val="2EE10029"/>
    <w:rsid w:val="2EE67135"/>
    <w:rsid w:val="2EEC1C48"/>
    <w:rsid w:val="2EF15E0D"/>
    <w:rsid w:val="2EF84F00"/>
    <w:rsid w:val="2F234777"/>
    <w:rsid w:val="2F237FA6"/>
    <w:rsid w:val="2F2D5DE2"/>
    <w:rsid w:val="2F324D29"/>
    <w:rsid w:val="2F441A54"/>
    <w:rsid w:val="2F462582"/>
    <w:rsid w:val="2F6168C6"/>
    <w:rsid w:val="2F6A2714"/>
    <w:rsid w:val="2F731D4A"/>
    <w:rsid w:val="2F912229"/>
    <w:rsid w:val="2F9303FB"/>
    <w:rsid w:val="2F93612B"/>
    <w:rsid w:val="2F9904EA"/>
    <w:rsid w:val="2FC5115F"/>
    <w:rsid w:val="2FC8743B"/>
    <w:rsid w:val="2FCF2080"/>
    <w:rsid w:val="2FD1009E"/>
    <w:rsid w:val="2FDB138B"/>
    <w:rsid w:val="2FF41FDE"/>
    <w:rsid w:val="300C557A"/>
    <w:rsid w:val="303D5733"/>
    <w:rsid w:val="305A6B4F"/>
    <w:rsid w:val="305C7245"/>
    <w:rsid w:val="30736266"/>
    <w:rsid w:val="307A24E3"/>
    <w:rsid w:val="30A40FEC"/>
    <w:rsid w:val="30A9361D"/>
    <w:rsid w:val="30B654E5"/>
    <w:rsid w:val="30C26694"/>
    <w:rsid w:val="30D057F2"/>
    <w:rsid w:val="30DA5678"/>
    <w:rsid w:val="30DC77C4"/>
    <w:rsid w:val="30E21733"/>
    <w:rsid w:val="30F77FD8"/>
    <w:rsid w:val="31134D4C"/>
    <w:rsid w:val="311741D6"/>
    <w:rsid w:val="312608BD"/>
    <w:rsid w:val="31295CB7"/>
    <w:rsid w:val="31501496"/>
    <w:rsid w:val="315C0151"/>
    <w:rsid w:val="317550ED"/>
    <w:rsid w:val="31A43590"/>
    <w:rsid w:val="31D45EB7"/>
    <w:rsid w:val="31DF1A56"/>
    <w:rsid w:val="32045C51"/>
    <w:rsid w:val="32063D7A"/>
    <w:rsid w:val="322830C2"/>
    <w:rsid w:val="32386105"/>
    <w:rsid w:val="323D5B25"/>
    <w:rsid w:val="326128BE"/>
    <w:rsid w:val="32774045"/>
    <w:rsid w:val="32A04590"/>
    <w:rsid w:val="32E23024"/>
    <w:rsid w:val="32E3455F"/>
    <w:rsid w:val="32FF3174"/>
    <w:rsid w:val="332350B4"/>
    <w:rsid w:val="333548B5"/>
    <w:rsid w:val="33433E12"/>
    <w:rsid w:val="33531A91"/>
    <w:rsid w:val="33627935"/>
    <w:rsid w:val="33660511"/>
    <w:rsid w:val="3370146E"/>
    <w:rsid w:val="33870D36"/>
    <w:rsid w:val="33CC574C"/>
    <w:rsid w:val="33D45407"/>
    <w:rsid w:val="33DE0FDB"/>
    <w:rsid w:val="33DF6B01"/>
    <w:rsid w:val="33EA060C"/>
    <w:rsid w:val="33FB0C13"/>
    <w:rsid w:val="340A4B0D"/>
    <w:rsid w:val="341449FD"/>
    <w:rsid w:val="34180991"/>
    <w:rsid w:val="342B60E5"/>
    <w:rsid w:val="34323A47"/>
    <w:rsid w:val="344057F2"/>
    <w:rsid w:val="34462C29"/>
    <w:rsid w:val="345B62F7"/>
    <w:rsid w:val="34611F6C"/>
    <w:rsid w:val="34692F9B"/>
    <w:rsid w:val="346F51BC"/>
    <w:rsid w:val="347C23F8"/>
    <w:rsid w:val="34844F48"/>
    <w:rsid w:val="34864FE8"/>
    <w:rsid w:val="3488219A"/>
    <w:rsid w:val="34A51AF9"/>
    <w:rsid w:val="34AA0E6F"/>
    <w:rsid w:val="34F92AFA"/>
    <w:rsid w:val="351C625F"/>
    <w:rsid w:val="35227F7D"/>
    <w:rsid w:val="352944D8"/>
    <w:rsid w:val="35466E38"/>
    <w:rsid w:val="35475172"/>
    <w:rsid w:val="355D4AD0"/>
    <w:rsid w:val="35642417"/>
    <w:rsid w:val="356E3DC6"/>
    <w:rsid w:val="35A74869"/>
    <w:rsid w:val="35AA386B"/>
    <w:rsid w:val="35B446E9"/>
    <w:rsid w:val="35B97AB3"/>
    <w:rsid w:val="35BC359E"/>
    <w:rsid w:val="35C83CF1"/>
    <w:rsid w:val="35CC1814"/>
    <w:rsid w:val="35CD52FF"/>
    <w:rsid w:val="35E94E50"/>
    <w:rsid w:val="36010573"/>
    <w:rsid w:val="36205FC2"/>
    <w:rsid w:val="36226CDD"/>
    <w:rsid w:val="36532606"/>
    <w:rsid w:val="36662444"/>
    <w:rsid w:val="36681030"/>
    <w:rsid w:val="36735F09"/>
    <w:rsid w:val="36857E34"/>
    <w:rsid w:val="368C11C2"/>
    <w:rsid w:val="36941E25"/>
    <w:rsid w:val="36954DF9"/>
    <w:rsid w:val="36A26B39"/>
    <w:rsid w:val="36B87A4C"/>
    <w:rsid w:val="36BB532C"/>
    <w:rsid w:val="36BB76D3"/>
    <w:rsid w:val="36C81141"/>
    <w:rsid w:val="36DB2BB9"/>
    <w:rsid w:val="36E917D0"/>
    <w:rsid w:val="36F37C4B"/>
    <w:rsid w:val="36FA25D0"/>
    <w:rsid w:val="37183F1E"/>
    <w:rsid w:val="373C0FA3"/>
    <w:rsid w:val="374675C3"/>
    <w:rsid w:val="37534278"/>
    <w:rsid w:val="37682A67"/>
    <w:rsid w:val="376A2227"/>
    <w:rsid w:val="377A7DA0"/>
    <w:rsid w:val="377F565F"/>
    <w:rsid w:val="378B2CF8"/>
    <w:rsid w:val="378B5517"/>
    <w:rsid w:val="379E0C96"/>
    <w:rsid w:val="379F4342"/>
    <w:rsid w:val="37A91A34"/>
    <w:rsid w:val="37B565B2"/>
    <w:rsid w:val="37BB18F9"/>
    <w:rsid w:val="37BB2CAF"/>
    <w:rsid w:val="37C62EFE"/>
    <w:rsid w:val="37D01571"/>
    <w:rsid w:val="37E34E12"/>
    <w:rsid w:val="37E92DD0"/>
    <w:rsid w:val="380E0689"/>
    <w:rsid w:val="381C6576"/>
    <w:rsid w:val="382C3FF1"/>
    <w:rsid w:val="383374EF"/>
    <w:rsid w:val="38444BF6"/>
    <w:rsid w:val="384F06F9"/>
    <w:rsid w:val="385258AE"/>
    <w:rsid w:val="38594E76"/>
    <w:rsid w:val="38730D74"/>
    <w:rsid w:val="388008B3"/>
    <w:rsid w:val="38832151"/>
    <w:rsid w:val="38A06CA6"/>
    <w:rsid w:val="38B30C88"/>
    <w:rsid w:val="38D421D8"/>
    <w:rsid w:val="38E52E0C"/>
    <w:rsid w:val="38FC02D6"/>
    <w:rsid w:val="38FC7CC2"/>
    <w:rsid w:val="3905037B"/>
    <w:rsid w:val="39254237"/>
    <w:rsid w:val="3926721C"/>
    <w:rsid w:val="39561EE2"/>
    <w:rsid w:val="39591256"/>
    <w:rsid w:val="39672918"/>
    <w:rsid w:val="398A7A7C"/>
    <w:rsid w:val="398B236F"/>
    <w:rsid w:val="39A264A1"/>
    <w:rsid w:val="39C12F31"/>
    <w:rsid w:val="39CF1CEE"/>
    <w:rsid w:val="39D31333"/>
    <w:rsid w:val="39D54ED8"/>
    <w:rsid w:val="39F76E18"/>
    <w:rsid w:val="39FA22AE"/>
    <w:rsid w:val="3A0177D1"/>
    <w:rsid w:val="3A1A6108"/>
    <w:rsid w:val="3A1C3049"/>
    <w:rsid w:val="3A1F5ED9"/>
    <w:rsid w:val="3A2A31CC"/>
    <w:rsid w:val="3A2D55A1"/>
    <w:rsid w:val="3A304821"/>
    <w:rsid w:val="3A325BDD"/>
    <w:rsid w:val="3A395D55"/>
    <w:rsid w:val="3A3C2EFF"/>
    <w:rsid w:val="3A414072"/>
    <w:rsid w:val="3A5B0034"/>
    <w:rsid w:val="3A5B6136"/>
    <w:rsid w:val="3A5F685E"/>
    <w:rsid w:val="3A671F4B"/>
    <w:rsid w:val="3A6A45E8"/>
    <w:rsid w:val="3A712BA9"/>
    <w:rsid w:val="3A900E36"/>
    <w:rsid w:val="3A9461B8"/>
    <w:rsid w:val="3AAC17D9"/>
    <w:rsid w:val="3AB3103A"/>
    <w:rsid w:val="3AC147A5"/>
    <w:rsid w:val="3ACB34B3"/>
    <w:rsid w:val="3AD74DC5"/>
    <w:rsid w:val="3AE631F5"/>
    <w:rsid w:val="3AEC0481"/>
    <w:rsid w:val="3AF35977"/>
    <w:rsid w:val="3AFA4962"/>
    <w:rsid w:val="3B016FA4"/>
    <w:rsid w:val="3B0939FB"/>
    <w:rsid w:val="3B176304"/>
    <w:rsid w:val="3B201ED9"/>
    <w:rsid w:val="3B436FC7"/>
    <w:rsid w:val="3B453A80"/>
    <w:rsid w:val="3B505FAD"/>
    <w:rsid w:val="3B6C38C7"/>
    <w:rsid w:val="3B6D5B91"/>
    <w:rsid w:val="3B745B59"/>
    <w:rsid w:val="3B75322D"/>
    <w:rsid w:val="3B7C5E89"/>
    <w:rsid w:val="3B8B7ED7"/>
    <w:rsid w:val="3B9C02DF"/>
    <w:rsid w:val="3BAB492F"/>
    <w:rsid w:val="3BAF0091"/>
    <w:rsid w:val="3BCC3E0F"/>
    <w:rsid w:val="3BCE547E"/>
    <w:rsid w:val="3BE17B92"/>
    <w:rsid w:val="3BEB698B"/>
    <w:rsid w:val="3BEC625F"/>
    <w:rsid w:val="3BEE03A2"/>
    <w:rsid w:val="3BEE404E"/>
    <w:rsid w:val="3C017F5D"/>
    <w:rsid w:val="3C5E53AF"/>
    <w:rsid w:val="3C6B3628"/>
    <w:rsid w:val="3C714642"/>
    <w:rsid w:val="3C942B7F"/>
    <w:rsid w:val="3C9444C5"/>
    <w:rsid w:val="3CB74ABF"/>
    <w:rsid w:val="3CF950D8"/>
    <w:rsid w:val="3CFD15BF"/>
    <w:rsid w:val="3D0D46DF"/>
    <w:rsid w:val="3D1E4B3E"/>
    <w:rsid w:val="3D202664"/>
    <w:rsid w:val="3D204412"/>
    <w:rsid w:val="3D2755F1"/>
    <w:rsid w:val="3D2A22D5"/>
    <w:rsid w:val="3D314067"/>
    <w:rsid w:val="3D356511"/>
    <w:rsid w:val="3D365927"/>
    <w:rsid w:val="3D380F1D"/>
    <w:rsid w:val="3D472E44"/>
    <w:rsid w:val="3D570CE3"/>
    <w:rsid w:val="3D5F71B9"/>
    <w:rsid w:val="3D640998"/>
    <w:rsid w:val="3D9B2B19"/>
    <w:rsid w:val="3DAF347D"/>
    <w:rsid w:val="3DB403CC"/>
    <w:rsid w:val="3DB76351"/>
    <w:rsid w:val="3DBB648E"/>
    <w:rsid w:val="3DC6374A"/>
    <w:rsid w:val="3DE45300"/>
    <w:rsid w:val="3DF32FC8"/>
    <w:rsid w:val="3DFC3767"/>
    <w:rsid w:val="3E0633EE"/>
    <w:rsid w:val="3E0D2BA2"/>
    <w:rsid w:val="3E0F6783"/>
    <w:rsid w:val="3E23240C"/>
    <w:rsid w:val="3E3125FF"/>
    <w:rsid w:val="3E3A797F"/>
    <w:rsid w:val="3E451B6A"/>
    <w:rsid w:val="3E497999"/>
    <w:rsid w:val="3E541B40"/>
    <w:rsid w:val="3E5B7667"/>
    <w:rsid w:val="3E6F0B91"/>
    <w:rsid w:val="3EAB1A1E"/>
    <w:rsid w:val="3EBF31E2"/>
    <w:rsid w:val="3EC80A93"/>
    <w:rsid w:val="3ECC294C"/>
    <w:rsid w:val="3ECE3980"/>
    <w:rsid w:val="3EEB532A"/>
    <w:rsid w:val="3EFA3DD4"/>
    <w:rsid w:val="3F116709"/>
    <w:rsid w:val="3F245CDE"/>
    <w:rsid w:val="3F2C17D3"/>
    <w:rsid w:val="3F38176A"/>
    <w:rsid w:val="3F4B1CA0"/>
    <w:rsid w:val="3F585A92"/>
    <w:rsid w:val="3F6F42E2"/>
    <w:rsid w:val="3F6F612B"/>
    <w:rsid w:val="3F746C97"/>
    <w:rsid w:val="3F7A7910"/>
    <w:rsid w:val="3F85710B"/>
    <w:rsid w:val="3F871528"/>
    <w:rsid w:val="3F9A0498"/>
    <w:rsid w:val="3FA12FE6"/>
    <w:rsid w:val="3FBA368F"/>
    <w:rsid w:val="3FC72A05"/>
    <w:rsid w:val="3FCF35F0"/>
    <w:rsid w:val="3FD31ACD"/>
    <w:rsid w:val="3FF5763E"/>
    <w:rsid w:val="3FF96E7B"/>
    <w:rsid w:val="3FFD0A3B"/>
    <w:rsid w:val="3FFF13A1"/>
    <w:rsid w:val="4024246B"/>
    <w:rsid w:val="40394E68"/>
    <w:rsid w:val="40407A9F"/>
    <w:rsid w:val="40426772"/>
    <w:rsid w:val="406C497A"/>
    <w:rsid w:val="40872E98"/>
    <w:rsid w:val="40972C3D"/>
    <w:rsid w:val="409F1AF2"/>
    <w:rsid w:val="40A9275A"/>
    <w:rsid w:val="40A92971"/>
    <w:rsid w:val="40B32646"/>
    <w:rsid w:val="40B57579"/>
    <w:rsid w:val="40CF3ECA"/>
    <w:rsid w:val="40CF64E2"/>
    <w:rsid w:val="40D44BE7"/>
    <w:rsid w:val="410A158D"/>
    <w:rsid w:val="411975DD"/>
    <w:rsid w:val="411C75E7"/>
    <w:rsid w:val="412B29A8"/>
    <w:rsid w:val="412F731A"/>
    <w:rsid w:val="413276FB"/>
    <w:rsid w:val="413F324C"/>
    <w:rsid w:val="413F4150"/>
    <w:rsid w:val="41422BEE"/>
    <w:rsid w:val="4144005D"/>
    <w:rsid w:val="41523D1C"/>
    <w:rsid w:val="415919E2"/>
    <w:rsid w:val="416E0685"/>
    <w:rsid w:val="41A31447"/>
    <w:rsid w:val="41B03A6A"/>
    <w:rsid w:val="41B47717"/>
    <w:rsid w:val="41BE072C"/>
    <w:rsid w:val="41C77552"/>
    <w:rsid w:val="41D176AE"/>
    <w:rsid w:val="41E579D9"/>
    <w:rsid w:val="41F07F48"/>
    <w:rsid w:val="42023998"/>
    <w:rsid w:val="42116A20"/>
    <w:rsid w:val="42334885"/>
    <w:rsid w:val="42344D2F"/>
    <w:rsid w:val="42574E91"/>
    <w:rsid w:val="42674891"/>
    <w:rsid w:val="42732927"/>
    <w:rsid w:val="42733236"/>
    <w:rsid w:val="427B0595"/>
    <w:rsid w:val="4286740D"/>
    <w:rsid w:val="429A07C3"/>
    <w:rsid w:val="42A25018"/>
    <w:rsid w:val="42A86388"/>
    <w:rsid w:val="42C41CE4"/>
    <w:rsid w:val="42CC1D66"/>
    <w:rsid w:val="42E16A8D"/>
    <w:rsid w:val="42F97BDF"/>
    <w:rsid w:val="42FA30E7"/>
    <w:rsid w:val="430B7913"/>
    <w:rsid w:val="433E2ADB"/>
    <w:rsid w:val="43495316"/>
    <w:rsid w:val="43510169"/>
    <w:rsid w:val="43562F18"/>
    <w:rsid w:val="43630837"/>
    <w:rsid w:val="4368266F"/>
    <w:rsid w:val="43A044FF"/>
    <w:rsid w:val="43A85162"/>
    <w:rsid w:val="43B34232"/>
    <w:rsid w:val="43BE75BA"/>
    <w:rsid w:val="43C8533B"/>
    <w:rsid w:val="43D41271"/>
    <w:rsid w:val="43FD6DCC"/>
    <w:rsid w:val="44005A27"/>
    <w:rsid w:val="440700DA"/>
    <w:rsid w:val="440A7727"/>
    <w:rsid w:val="44126D70"/>
    <w:rsid w:val="44213794"/>
    <w:rsid w:val="44246EDE"/>
    <w:rsid w:val="442B3AB6"/>
    <w:rsid w:val="443D129B"/>
    <w:rsid w:val="44417C61"/>
    <w:rsid w:val="44474521"/>
    <w:rsid w:val="444D54F0"/>
    <w:rsid w:val="4456696C"/>
    <w:rsid w:val="44713000"/>
    <w:rsid w:val="44763C20"/>
    <w:rsid w:val="447910DE"/>
    <w:rsid w:val="447A398E"/>
    <w:rsid w:val="44827761"/>
    <w:rsid w:val="44841839"/>
    <w:rsid w:val="44890DCE"/>
    <w:rsid w:val="44BF2763"/>
    <w:rsid w:val="44C323AD"/>
    <w:rsid w:val="44D22496"/>
    <w:rsid w:val="44D910CB"/>
    <w:rsid w:val="44E64491"/>
    <w:rsid w:val="44EA49C0"/>
    <w:rsid w:val="44EB6C77"/>
    <w:rsid w:val="4506147B"/>
    <w:rsid w:val="450E650B"/>
    <w:rsid w:val="45156108"/>
    <w:rsid w:val="45172894"/>
    <w:rsid w:val="45173B67"/>
    <w:rsid w:val="45214F15"/>
    <w:rsid w:val="45260A34"/>
    <w:rsid w:val="453273D9"/>
    <w:rsid w:val="45386828"/>
    <w:rsid w:val="453E3FCF"/>
    <w:rsid w:val="454F62E1"/>
    <w:rsid w:val="45544E00"/>
    <w:rsid w:val="455530C7"/>
    <w:rsid w:val="4567543E"/>
    <w:rsid w:val="458A0186"/>
    <w:rsid w:val="458D5981"/>
    <w:rsid w:val="4599546F"/>
    <w:rsid w:val="459B6410"/>
    <w:rsid w:val="45AF0908"/>
    <w:rsid w:val="45B231FF"/>
    <w:rsid w:val="45C94C84"/>
    <w:rsid w:val="45DF34B3"/>
    <w:rsid w:val="45EE1552"/>
    <w:rsid w:val="45FE6DC5"/>
    <w:rsid w:val="46062C57"/>
    <w:rsid w:val="46085F3F"/>
    <w:rsid w:val="461A5331"/>
    <w:rsid w:val="46324B16"/>
    <w:rsid w:val="46476EB4"/>
    <w:rsid w:val="464E4809"/>
    <w:rsid w:val="465005B9"/>
    <w:rsid w:val="467D4684"/>
    <w:rsid w:val="468E773A"/>
    <w:rsid w:val="469149E0"/>
    <w:rsid w:val="469D1499"/>
    <w:rsid w:val="46AF10E3"/>
    <w:rsid w:val="46C6695C"/>
    <w:rsid w:val="47024B89"/>
    <w:rsid w:val="47094169"/>
    <w:rsid w:val="47107999"/>
    <w:rsid w:val="47143D01"/>
    <w:rsid w:val="475D68D6"/>
    <w:rsid w:val="4766448E"/>
    <w:rsid w:val="477A1B32"/>
    <w:rsid w:val="478C7274"/>
    <w:rsid w:val="47990A9D"/>
    <w:rsid w:val="479B078B"/>
    <w:rsid w:val="47B503DA"/>
    <w:rsid w:val="47BB1907"/>
    <w:rsid w:val="47D67F9D"/>
    <w:rsid w:val="47ED75E7"/>
    <w:rsid w:val="48082673"/>
    <w:rsid w:val="48104F4B"/>
    <w:rsid w:val="4813505E"/>
    <w:rsid w:val="482C583F"/>
    <w:rsid w:val="48575A24"/>
    <w:rsid w:val="485A0F31"/>
    <w:rsid w:val="486960B0"/>
    <w:rsid w:val="48937EE4"/>
    <w:rsid w:val="489B322B"/>
    <w:rsid w:val="48AE321A"/>
    <w:rsid w:val="48D50670"/>
    <w:rsid w:val="48EA0117"/>
    <w:rsid w:val="48EA3B26"/>
    <w:rsid w:val="48EE1C81"/>
    <w:rsid w:val="48F7696F"/>
    <w:rsid w:val="48FB078F"/>
    <w:rsid w:val="48FD5F50"/>
    <w:rsid w:val="48FD7CFE"/>
    <w:rsid w:val="490960E7"/>
    <w:rsid w:val="491470E5"/>
    <w:rsid w:val="491A45B5"/>
    <w:rsid w:val="49222F70"/>
    <w:rsid w:val="49295900"/>
    <w:rsid w:val="494C080E"/>
    <w:rsid w:val="494E1C27"/>
    <w:rsid w:val="495A5912"/>
    <w:rsid w:val="497524EA"/>
    <w:rsid w:val="4984096B"/>
    <w:rsid w:val="49887640"/>
    <w:rsid w:val="498E4D4F"/>
    <w:rsid w:val="4990049A"/>
    <w:rsid w:val="49A81A17"/>
    <w:rsid w:val="49A93559"/>
    <w:rsid w:val="49AB59AC"/>
    <w:rsid w:val="49D91326"/>
    <w:rsid w:val="4A0643BD"/>
    <w:rsid w:val="4A0D3C67"/>
    <w:rsid w:val="4A1B668D"/>
    <w:rsid w:val="4A315BF5"/>
    <w:rsid w:val="4A445F6B"/>
    <w:rsid w:val="4A524E6F"/>
    <w:rsid w:val="4A66609A"/>
    <w:rsid w:val="4A7B75C1"/>
    <w:rsid w:val="4A863467"/>
    <w:rsid w:val="4A9B77CE"/>
    <w:rsid w:val="4AB92A34"/>
    <w:rsid w:val="4ABE237D"/>
    <w:rsid w:val="4AF72E03"/>
    <w:rsid w:val="4AFC3E8E"/>
    <w:rsid w:val="4B152A07"/>
    <w:rsid w:val="4B1C180C"/>
    <w:rsid w:val="4B1E1A4F"/>
    <w:rsid w:val="4B253B21"/>
    <w:rsid w:val="4B343AE3"/>
    <w:rsid w:val="4B3949FD"/>
    <w:rsid w:val="4B3C128B"/>
    <w:rsid w:val="4B583122"/>
    <w:rsid w:val="4B5D7FE4"/>
    <w:rsid w:val="4B6260CD"/>
    <w:rsid w:val="4B6C5A20"/>
    <w:rsid w:val="4B771FE9"/>
    <w:rsid w:val="4B775B45"/>
    <w:rsid w:val="4B924CBF"/>
    <w:rsid w:val="4B9634B6"/>
    <w:rsid w:val="4B9745A8"/>
    <w:rsid w:val="4BBC1086"/>
    <w:rsid w:val="4BDC44F7"/>
    <w:rsid w:val="4BE11A5A"/>
    <w:rsid w:val="4BE156B5"/>
    <w:rsid w:val="4BE53277"/>
    <w:rsid w:val="4BE56F53"/>
    <w:rsid w:val="4C15710C"/>
    <w:rsid w:val="4C161A93"/>
    <w:rsid w:val="4C1A40B9"/>
    <w:rsid w:val="4C294CD7"/>
    <w:rsid w:val="4C350442"/>
    <w:rsid w:val="4C43011D"/>
    <w:rsid w:val="4C5879AB"/>
    <w:rsid w:val="4C5C60B0"/>
    <w:rsid w:val="4C5D5B32"/>
    <w:rsid w:val="4C654E48"/>
    <w:rsid w:val="4C7B1F56"/>
    <w:rsid w:val="4C7F3552"/>
    <w:rsid w:val="4C8512A3"/>
    <w:rsid w:val="4C9A44A7"/>
    <w:rsid w:val="4C9F0B13"/>
    <w:rsid w:val="4CB24DE4"/>
    <w:rsid w:val="4CB80AD8"/>
    <w:rsid w:val="4CBE2D36"/>
    <w:rsid w:val="4CC21042"/>
    <w:rsid w:val="4CD07C03"/>
    <w:rsid w:val="4CE03BBE"/>
    <w:rsid w:val="4CE74F4D"/>
    <w:rsid w:val="4CE7521E"/>
    <w:rsid w:val="4CEE2238"/>
    <w:rsid w:val="4CEE2FE2"/>
    <w:rsid w:val="4D0C2C77"/>
    <w:rsid w:val="4D1836DA"/>
    <w:rsid w:val="4D2A270F"/>
    <w:rsid w:val="4D2A63E7"/>
    <w:rsid w:val="4D311078"/>
    <w:rsid w:val="4D3A6253"/>
    <w:rsid w:val="4D4A27DE"/>
    <w:rsid w:val="4D4F7737"/>
    <w:rsid w:val="4D522F2B"/>
    <w:rsid w:val="4D605565"/>
    <w:rsid w:val="4D8C33FE"/>
    <w:rsid w:val="4DBB46A4"/>
    <w:rsid w:val="4DC21A85"/>
    <w:rsid w:val="4DC31516"/>
    <w:rsid w:val="4DC963F2"/>
    <w:rsid w:val="4DCF687D"/>
    <w:rsid w:val="4DD76D6F"/>
    <w:rsid w:val="4DD80FDB"/>
    <w:rsid w:val="4DDC26BA"/>
    <w:rsid w:val="4DDC6134"/>
    <w:rsid w:val="4DEB3C6F"/>
    <w:rsid w:val="4DEE7FDD"/>
    <w:rsid w:val="4E173DFC"/>
    <w:rsid w:val="4E1E7642"/>
    <w:rsid w:val="4E2157B8"/>
    <w:rsid w:val="4E473EF5"/>
    <w:rsid w:val="4E4C150B"/>
    <w:rsid w:val="4E6011B1"/>
    <w:rsid w:val="4E6078EB"/>
    <w:rsid w:val="4E6F6FA8"/>
    <w:rsid w:val="4E805ED2"/>
    <w:rsid w:val="4E844A0F"/>
    <w:rsid w:val="4E952D74"/>
    <w:rsid w:val="4E9A049C"/>
    <w:rsid w:val="4E9D4148"/>
    <w:rsid w:val="4EAD187E"/>
    <w:rsid w:val="4EB726FD"/>
    <w:rsid w:val="4EC07B31"/>
    <w:rsid w:val="4ED42E31"/>
    <w:rsid w:val="4EEA35C3"/>
    <w:rsid w:val="4EEA7FD8"/>
    <w:rsid w:val="4F0239C0"/>
    <w:rsid w:val="4F2953A8"/>
    <w:rsid w:val="4F346466"/>
    <w:rsid w:val="4F675ED1"/>
    <w:rsid w:val="4F6A776F"/>
    <w:rsid w:val="4F6D7F7A"/>
    <w:rsid w:val="4F766114"/>
    <w:rsid w:val="4F894099"/>
    <w:rsid w:val="4FA669F9"/>
    <w:rsid w:val="4FAD4077"/>
    <w:rsid w:val="4FB1539E"/>
    <w:rsid w:val="4FB8570C"/>
    <w:rsid w:val="4FC07E0D"/>
    <w:rsid w:val="4FC13833"/>
    <w:rsid w:val="4FDB0177"/>
    <w:rsid w:val="4FE81242"/>
    <w:rsid w:val="4FED26C4"/>
    <w:rsid w:val="4FF27E90"/>
    <w:rsid w:val="4FF71ABD"/>
    <w:rsid w:val="4FF9623B"/>
    <w:rsid w:val="5001120A"/>
    <w:rsid w:val="500A342C"/>
    <w:rsid w:val="50133BA7"/>
    <w:rsid w:val="501752BA"/>
    <w:rsid w:val="501B2DF5"/>
    <w:rsid w:val="501B6121"/>
    <w:rsid w:val="50260FFD"/>
    <w:rsid w:val="503404A9"/>
    <w:rsid w:val="5039786D"/>
    <w:rsid w:val="505521CD"/>
    <w:rsid w:val="50575886"/>
    <w:rsid w:val="507D4234"/>
    <w:rsid w:val="508A3C4F"/>
    <w:rsid w:val="509409A8"/>
    <w:rsid w:val="50B94988"/>
    <w:rsid w:val="50BE6C2F"/>
    <w:rsid w:val="50DD6E91"/>
    <w:rsid w:val="50EB2380"/>
    <w:rsid w:val="50FE2C57"/>
    <w:rsid w:val="510317D9"/>
    <w:rsid w:val="510C765E"/>
    <w:rsid w:val="511A58F1"/>
    <w:rsid w:val="512027DB"/>
    <w:rsid w:val="51257DF2"/>
    <w:rsid w:val="51387B25"/>
    <w:rsid w:val="514963DB"/>
    <w:rsid w:val="51571C09"/>
    <w:rsid w:val="515E1493"/>
    <w:rsid w:val="516D2BC8"/>
    <w:rsid w:val="518E1E3B"/>
    <w:rsid w:val="518F7A80"/>
    <w:rsid w:val="51A151B5"/>
    <w:rsid w:val="51D5428B"/>
    <w:rsid w:val="51DC0DF8"/>
    <w:rsid w:val="51DD4959"/>
    <w:rsid w:val="51F021AD"/>
    <w:rsid w:val="521D671E"/>
    <w:rsid w:val="52211609"/>
    <w:rsid w:val="522D783F"/>
    <w:rsid w:val="52316962"/>
    <w:rsid w:val="524F33D3"/>
    <w:rsid w:val="52524D6B"/>
    <w:rsid w:val="525C74FA"/>
    <w:rsid w:val="52676D69"/>
    <w:rsid w:val="526D647F"/>
    <w:rsid w:val="52735BE6"/>
    <w:rsid w:val="527436A9"/>
    <w:rsid w:val="527B0B6E"/>
    <w:rsid w:val="52834B25"/>
    <w:rsid w:val="528B4CB1"/>
    <w:rsid w:val="52972F91"/>
    <w:rsid w:val="52992845"/>
    <w:rsid w:val="529F0D75"/>
    <w:rsid w:val="52B64B0F"/>
    <w:rsid w:val="52BD71C1"/>
    <w:rsid w:val="52C553E8"/>
    <w:rsid w:val="52CC0C38"/>
    <w:rsid w:val="52CD532C"/>
    <w:rsid w:val="52EF191C"/>
    <w:rsid w:val="52F06F3A"/>
    <w:rsid w:val="52F97788"/>
    <w:rsid w:val="52FA36B8"/>
    <w:rsid w:val="53057744"/>
    <w:rsid w:val="531043A0"/>
    <w:rsid w:val="531225F7"/>
    <w:rsid w:val="531377EE"/>
    <w:rsid w:val="531A1D19"/>
    <w:rsid w:val="53202F66"/>
    <w:rsid w:val="532D1C7B"/>
    <w:rsid w:val="533407C0"/>
    <w:rsid w:val="533B3710"/>
    <w:rsid w:val="5346615D"/>
    <w:rsid w:val="534A3B3F"/>
    <w:rsid w:val="534F55FA"/>
    <w:rsid w:val="5354676C"/>
    <w:rsid w:val="535D44E5"/>
    <w:rsid w:val="536264C0"/>
    <w:rsid w:val="53736AD3"/>
    <w:rsid w:val="538F6092"/>
    <w:rsid w:val="539508FE"/>
    <w:rsid w:val="539C2A63"/>
    <w:rsid w:val="53A53F7E"/>
    <w:rsid w:val="53B536AF"/>
    <w:rsid w:val="53B63C4A"/>
    <w:rsid w:val="53BD42D4"/>
    <w:rsid w:val="53C161BA"/>
    <w:rsid w:val="53E2021C"/>
    <w:rsid w:val="53F005F3"/>
    <w:rsid w:val="53FA34C3"/>
    <w:rsid w:val="541D1254"/>
    <w:rsid w:val="54262366"/>
    <w:rsid w:val="54266722"/>
    <w:rsid w:val="54284CF2"/>
    <w:rsid w:val="54497D6E"/>
    <w:rsid w:val="544A6CFB"/>
    <w:rsid w:val="545A09DD"/>
    <w:rsid w:val="54764266"/>
    <w:rsid w:val="547831AD"/>
    <w:rsid w:val="547A66A6"/>
    <w:rsid w:val="549366B5"/>
    <w:rsid w:val="54B35714"/>
    <w:rsid w:val="54B41BB8"/>
    <w:rsid w:val="54BC0A6D"/>
    <w:rsid w:val="54C66B7F"/>
    <w:rsid w:val="54CA51E1"/>
    <w:rsid w:val="54DA1D79"/>
    <w:rsid w:val="54E76163"/>
    <w:rsid w:val="54E9053C"/>
    <w:rsid w:val="54EC75A4"/>
    <w:rsid w:val="54ED6DD9"/>
    <w:rsid w:val="54F230EF"/>
    <w:rsid w:val="54F521F2"/>
    <w:rsid w:val="54F91008"/>
    <w:rsid w:val="55344AA7"/>
    <w:rsid w:val="55357EFD"/>
    <w:rsid w:val="554A6079"/>
    <w:rsid w:val="554B56D5"/>
    <w:rsid w:val="55812FA7"/>
    <w:rsid w:val="55923320"/>
    <w:rsid w:val="55982572"/>
    <w:rsid w:val="559D264C"/>
    <w:rsid w:val="55A0637F"/>
    <w:rsid w:val="55A72E04"/>
    <w:rsid w:val="55A80DBC"/>
    <w:rsid w:val="55BE2D74"/>
    <w:rsid w:val="55C2781C"/>
    <w:rsid w:val="55CD4E7B"/>
    <w:rsid w:val="55CF47D0"/>
    <w:rsid w:val="55D45677"/>
    <w:rsid w:val="55DB3175"/>
    <w:rsid w:val="55ED6C72"/>
    <w:rsid w:val="55F304BE"/>
    <w:rsid w:val="55FA184D"/>
    <w:rsid w:val="56084344"/>
    <w:rsid w:val="560B4121"/>
    <w:rsid w:val="560C2327"/>
    <w:rsid w:val="561924A5"/>
    <w:rsid w:val="56301712"/>
    <w:rsid w:val="563850A5"/>
    <w:rsid w:val="563B5EA8"/>
    <w:rsid w:val="564231F4"/>
    <w:rsid w:val="564469BE"/>
    <w:rsid w:val="5648537C"/>
    <w:rsid w:val="56502844"/>
    <w:rsid w:val="56505911"/>
    <w:rsid w:val="56595468"/>
    <w:rsid w:val="56690780"/>
    <w:rsid w:val="56881A68"/>
    <w:rsid w:val="568A11FB"/>
    <w:rsid w:val="569869C4"/>
    <w:rsid w:val="56A31EE4"/>
    <w:rsid w:val="56A37BBD"/>
    <w:rsid w:val="56A95021"/>
    <w:rsid w:val="56B714EC"/>
    <w:rsid w:val="56CD4670"/>
    <w:rsid w:val="56D0674C"/>
    <w:rsid w:val="56D2633A"/>
    <w:rsid w:val="56E74F6D"/>
    <w:rsid w:val="56EB1328"/>
    <w:rsid w:val="56F23B46"/>
    <w:rsid w:val="56F251A8"/>
    <w:rsid w:val="56F72C39"/>
    <w:rsid w:val="56FE512A"/>
    <w:rsid w:val="56FE711B"/>
    <w:rsid w:val="574236E7"/>
    <w:rsid w:val="575463D8"/>
    <w:rsid w:val="576E7563"/>
    <w:rsid w:val="577613A7"/>
    <w:rsid w:val="578F505B"/>
    <w:rsid w:val="5798756F"/>
    <w:rsid w:val="57BB362F"/>
    <w:rsid w:val="57C17087"/>
    <w:rsid w:val="57CC199D"/>
    <w:rsid w:val="57D02D65"/>
    <w:rsid w:val="57D82404"/>
    <w:rsid w:val="57E642F4"/>
    <w:rsid w:val="57EB755D"/>
    <w:rsid w:val="5805584A"/>
    <w:rsid w:val="580E7831"/>
    <w:rsid w:val="581A61D6"/>
    <w:rsid w:val="581F1993"/>
    <w:rsid w:val="583B614D"/>
    <w:rsid w:val="58411023"/>
    <w:rsid w:val="584506EC"/>
    <w:rsid w:val="585516AC"/>
    <w:rsid w:val="585F2195"/>
    <w:rsid w:val="587B083D"/>
    <w:rsid w:val="58856723"/>
    <w:rsid w:val="588B5FDD"/>
    <w:rsid w:val="58991A4B"/>
    <w:rsid w:val="58A71115"/>
    <w:rsid w:val="58A82413"/>
    <w:rsid w:val="58A921CB"/>
    <w:rsid w:val="58C919AA"/>
    <w:rsid w:val="58D81874"/>
    <w:rsid w:val="58DC7930"/>
    <w:rsid w:val="5900361E"/>
    <w:rsid w:val="590A624B"/>
    <w:rsid w:val="591168D4"/>
    <w:rsid w:val="59180B0D"/>
    <w:rsid w:val="592117E6"/>
    <w:rsid w:val="594A040E"/>
    <w:rsid w:val="594D217F"/>
    <w:rsid w:val="59544B46"/>
    <w:rsid w:val="59583C47"/>
    <w:rsid w:val="59725489"/>
    <w:rsid w:val="59861649"/>
    <w:rsid w:val="598853C1"/>
    <w:rsid w:val="598D4786"/>
    <w:rsid w:val="598F19AF"/>
    <w:rsid w:val="599117C3"/>
    <w:rsid w:val="599A0E1B"/>
    <w:rsid w:val="59BB5797"/>
    <w:rsid w:val="59C208D3"/>
    <w:rsid w:val="59CF4D9E"/>
    <w:rsid w:val="59D43694"/>
    <w:rsid w:val="59D52950"/>
    <w:rsid w:val="59EE2705"/>
    <w:rsid w:val="59F40CA9"/>
    <w:rsid w:val="59FC0C9C"/>
    <w:rsid w:val="5A006A9A"/>
    <w:rsid w:val="5A085A19"/>
    <w:rsid w:val="5A0F31E9"/>
    <w:rsid w:val="5A0F3E83"/>
    <w:rsid w:val="5A197C7D"/>
    <w:rsid w:val="5A3B231E"/>
    <w:rsid w:val="5A3D09A9"/>
    <w:rsid w:val="5A4A02E1"/>
    <w:rsid w:val="5A4F12A6"/>
    <w:rsid w:val="5A53477B"/>
    <w:rsid w:val="5A58195D"/>
    <w:rsid w:val="5A5C197E"/>
    <w:rsid w:val="5A5F1DD9"/>
    <w:rsid w:val="5AA90E84"/>
    <w:rsid w:val="5ABC7179"/>
    <w:rsid w:val="5AC37936"/>
    <w:rsid w:val="5ACB1A0A"/>
    <w:rsid w:val="5AD17E36"/>
    <w:rsid w:val="5AFA7B96"/>
    <w:rsid w:val="5B0015B8"/>
    <w:rsid w:val="5B00605E"/>
    <w:rsid w:val="5B095BCC"/>
    <w:rsid w:val="5B161F0B"/>
    <w:rsid w:val="5B17043B"/>
    <w:rsid w:val="5B170542"/>
    <w:rsid w:val="5B361726"/>
    <w:rsid w:val="5B6F05E7"/>
    <w:rsid w:val="5B874E3C"/>
    <w:rsid w:val="5B883E0A"/>
    <w:rsid w:val="5B8D499C"/>
    <w:rsid w:val="5B91324A"/>
    <w:rsid w:val="5B9C7546"/>
    <w:rsid w:val="5BB24978"/>
    <w:rsid w:val="5BBA2C5B"/>
    <w:rsid w:val="5BBD3DFF"/>
    <w:rsid w:val="5BD16A64"/>
    <w:rsid w:val="5BD43FBF"/>
    <w:rsid w:val="5BD448EE"/>
    <w:rsid w:val="5C1919D1"/>
    <w:rsid w:val="5C1E1DF6"/>
    <w:rsid w:val="5C1F5413"/>
    <w:rsid w:val="5C214B27"/>
    <w:rsid w:val="5C343DF8"/>
    <w:rsid w:val="5C365168"/>
    <w:rsid w:val="5C447CC6"/>
    <w:rsid w:val="5C514E2F"/>
    <w:rsid w:val="5C594DF3"/>
    <w:rsid w:val="5C5B6DBD"/>
    <w:rsid w:val="5C672263"/>
    <w:rsid w:val="5C783DC5"/>
    <w:rsid w:val="5C7E0D01"/>
    <w:rsid w:val="5CA35E8F"/>
    <w:rsid w:val="5CBD425B"/>
    <w:rsid w:val="5CC826A5"/>
    <w:rsid w:val="5CD92914"/>
    <w:rsid w:val="5CDF354A"/>
    <w:rsid w:val="5CE44C91"/>
    <w:rsid w:val="5CE46DB3"/>
    <w:rsid w:val="5CE60D7D"/>
    <w:rsid w:val="5CF0015F"/>
    <w:rsid w:val="5D0134C1"/>
    <w:rsid w:val="5D0B07E3"/>
    <w:rsid w:val="5D2268F2"/>
    <w:rsid w:val="5D2329C6"/>
    <w:rsid w:val="5D237123"/>
    <w:rsid w:val="5D2A6F8F"/>
    <w:rsid w:val="5D2B343B"/>
    <w:rsid w:val="5D3F4BF0"/>
    <w:rsid w:val="5D4D4EFD"/>
    <w:rsid w:val="5D5F6986"/>
    <w:rsid w:val="5D6C4344"/>
    <w:rsid w:val="5D7C3512"/>
    <w:rsid w:val="5D8D744A"/>
    <w:rsid w:val="5DA37EF5"/>
    <w:rsid w:val="5DA451C1"/>
    <w:rsid w:val="5DFC012C"/>
    <w:rsid w:val="5DFD2CDA"/>
    <w:rsid w:val="5DFE20F6"/>
    <w:rsid w:val="5E021BF1"/>
    <w:rsid w:val="5E28494C"/>
    <w:rsid w:val="5E294417"/>
    <w:rsid w:val="5E4C5DAB"/>
    <w:rsid w:val="5E58112D"/>
    <w:rsid w:val="5E7813D8"/>
    <w:rsid w:val="5E8C1C35"/>
    <w:rsid w:val="5E8D4131"/>
    <w:rsid w:val="5EA52572"/>
    <w:rsid w:val="5EBB785B"/>
    <w:rsid w:val="5EDC2D1E"/>
    <w:rsid w:val="5EE7485D"/>
    <w:rsid w:val="5EEF6D7E"/>
    <w:rsid w:val="5F1B2B11"/>
    <w:rsid w:val="5F22579C"/>
    <w:rsid w:val="5F2A6379"/>
    <w:rsid w:val="5F346F7D"/>
    <w:rsid w:val="5F3846C5"/>
    <w:rsid w:val="5F395630"/>
    <w:rsid w:val="5F3D5379"/>
    <w:rsid w:val="5F467F61"/>
    <w:rsid w:val="5F5B278A"/>
    <w:rsid w:val="5F5C70D4"/>
    <w:rsid w:val="5F664ADF"/>
    <w:rsid w:val="5F7268F8"/>
    <w:rsid w:val="5F776A62"/>
    <w:rsid w:val="5F7A3577"/>
    <w:rsid w:val="5F7F0FB8"/>
    <w:rsid w:val="5F7F4139"/>
    <w:rsid w:val="5F812FDF"/>
    <w:rsid w:val="5F831102"/>
    <w:rsid w:val="5F8E5468"/>
    <w:rsid w:val="5F936039"/>
    <w:rsid w:val="5F98156A"/>
    <w:rsid w:val="5FA025C7"/>
    <w:rsid w:val="5FA23DB9"/>
    <w:rsid w:val="5FA42A2C"/>
    <w:rsid w:val="5FA62A45"/>
    <w:rsid w:val="5FF7056F"/>
    <w:rsid w:val="60107EBF"/>
    <w:rsid w:val="60121E89"/>
    <w:rsid w:val="601C6864"/>
    <w:rsid w:val="601D656F"/>
    <w:rsid w:val="602C2509"/>
    <w:rsid w:val="602D090F"/>
    <w:rsid w:val="60302541"/>
    <w:rsid w:val="605129B1"/>
    <w:rsid w:val="605B6228"/>
    <w:rsid w:val="60712742"/>
    <w:rsid w:val="60786CFC"/>
    <w:rsid w:val="60944E5E"/>
    <w:rsid w:val="609C04D3"/>
    <w:rsid w:val="60A71236"/>
    <w:rsid w:val="60AA7324"/>
    <w:rsid w:val="60B368C7"/>
    <w:rsid w:val="60B96500"/>
    <w:rsid w:val="60BB7E2A"/>
    <w:rsid w:val="60BC29F1"/>
    <w:rsid w:val="60BD0047"/>
    <w:rsid w:val="60BD4E13"/>
    <w:rsid w:val="60E2185B"/>
    <w:rsid w:val="60ED6C7F"/>
    <w:rsid w:val="60F449B2"/>
    <w:rsid w:val="61004390"/>
    <w:rsid w:val="61112140"/>
    <w:rsid w:val="61113BC5"/>
    <w:rsid w:val="61127EA2"/>
    <w:rsid w:val="61204131"/>
    <w:rsid w:val="612260FC"/>
    <w:rsid w:val="613057B7"/>
    <w:rsid w:val="61332E72"/>
    <w:rsid w:val="614119B8"/>
    <w:rsid w:val="61443276"/>
    <w:rsid w:val="61474369"/>
    <w:rsid w:val="61580FE4"/>
    <w:rsid w:val="615E036F"/>
    <w:rsid w:val="615E7CCC"/>
    <w:rsid w:val="61605860"/>
    <w:rsid w:val="616952FD"/>
    <w:rsid w:val="617050B9"/>
    <w:rsid w:val="61805AAF"/>
    <w:rsid w:val="61860438"/>
    <w:rsid w:val="61876A72"/>
    <w:rsid w:val="618F6C61"/>
    <w:rsid w:val="61A66D2D"/>
    <w:rsid w:val="61B41449"/>
    <w:rsid w:val="61C43BA7"/>
    <w:rsid w:val="61C928D1"/>
    <w:rsid w:val="61DB152F"/>
    <w:rsid w:val="61E3588B"/>
    <w:rsid w:val="61F657B8"/>
    <w:rsid w:val="6200468F"/>
    <w:rsid w:val="62080547"/>
    <w:rsid w:val="620F49AE"/>
    <w:rsid w:val="62154E77"/>
    <w:rsid w:val="62232481"/>
    <w:rsid w:val="62293403"/>
    <w:rsid w:val="622F0DE0"/>
    <w:rsid w:val="62496B6E"/>
    <w:rsid w:val="624F6F2D"/>
    <w:rsid w:val="625A02AF"/>
    <w:rsid w:val="626F2992"/>
    <w:rsid w:val="62707B03"/>
    <w:rsid w:val="62744739"/>
    <w:rsid w:val="62854B94"/>
    <w:rsid w:val="628F7D79"/>
    <w:rsid w:val="62D376AD"/>
    <w:rsid w:val="62D90A3C"/>
    <w:rsid w:val="62E1431E"/>
    <w:rsid w:val="62EE50B6"/>
    <w:rsid w:val="62F15D85"/>
    <w:rsid w:val="62F329B7"/>
    <w:rsid w:val="6300246C"/>
    <w:rsid w:val="63046B74"/>
    <w:rsid w:val="6307369F"/>
    <w:rsid w:val="63117E08"/>
    <w:rsid w:val="63161C90"/>
    <w:rsid w:val="633640E0"/>
    <w:rsid w:val="633A242D"/>
    <w:rsid w:val="635337A6"/>
    <w:rsid w:val="63616FBA"/>
    <w:rsid w:val="63646637"/>
    <w:rsid w:val="637A7B03"/>
    <w:rsid w:val="639B0D9E"/>
    <w:rsid w:val="639C3223"/>
    <w:rsid w:val="639F518E"/>
    <w:rsid w:val="63A365C7"/>
    <w:rsid w:val="63A8314E"/>
    <w:rsid w:val="63AC081F"/>
    <w:rsid w:val="63B70D7D"/>
    <w:rsid w:val="63BE0F37"/>
    <w:rsid w:val="63C51C18"/>
    <w:rsid w:val="63CB1C09"/>
    <w:rsid w:val="63CF1BCC"/>
    <w:rsid w:val="63D63D42"/>
    <w:rsid w:val="63D770A1"/>
    <w:rsid w:val="63DE4E6F"/>
    <w:rsid w:val="640A69EA"/>
    <w:rsid w:val="640F6E0B"/>
    <w:rsid w:val="6410428F"/>
    <w:rsid w:val="642B52C7"/>
    <w:rsid w:val="64434CED"/>
    <w:rsid w:val="64525E6F"/>
    <w:rsid w:val="647D4422"/>
    <w:rsid w:val="6493693E"/>
    <w:rsid w:val="64967909"/>
    <w:rsid w:val="64973A5A"/>
    <w:rsid w:val="64A73016"/>
    <w:rsid w:val="64C03C61"/>
    <w:rsid w:val="64C16B3D"/>
    <w:rsid w:val="64E55AB9"/>
    <w:rsid w:val="64EE6AA2"/>
    <w:rsid w:val="64FE29DC"/>
    <w:rsid w:val="650D069A"/>
    <w:rsid w:val="6517172B"/>
    <w:rsid w:val="65441497"/>
    <w:rsid w:val="654E5680"/>
    <w:rsid w:val="654F3237"/>
    <w:rsid w:val="65533C99"/>
    <w:rsid w:val="65646CE3"/>
    <w:rsid w:val="65675A6D"/>
    <w:rsid w:val="65693D66"/>
    <w:rsid w:val="656A30F3"/>
    <w:rsid w:val="657A6EF0"/>
    <w:rsid w:val="65842EE1"/>
    <w:rsid w:val="65860E11"/>
    <w:rsid w:val="658D5301"/>
    <w:rsid w:val="65B90BF8"/>
    <w:rsid w:val="65D31D6D"/>
    <w:rsid w:val="65D433F7"/>
    <w:rsid w:val="65DF0FAA"/>
    <w:rsid w:val="65E46075"/>
    <w:rsid w:val="65E47E23"/>
    <w:rsid w:val="65EB7404"/>
    <w:rsid w:val="66024DE1"/>
    <w:rsid w:val="661F70AE"/>
    <w:rsid w:val="66296E44"/>
    <w:rsid w:val="662C6A60"/>
    <w:rsid w:val="664408C2"/>
    <w:rsid w:val="66501C4E"/>
    <w:rsid w:val="66734E89"/>
    <w:rsid w:val="667B18AC"/>
    <w:rsid w:val="669B4986"/>
    <w:rsid w:val="669B71AF"/>
    <w:rsid w:val="66C13AE7"/>
    <w:rsid w:val="66C67BD2"/>
    <w:rsid w:val="66D87988"/>
    <w:rsid w:val="66E63727"/>
    <w:rsid w:val="67020F3E"/>
    <w:rsid w:val="6737777F"/>
    <w:rsid w:val="67397B5E"/>
    <w:rsid w:val="6745041D"/>
    <w:rsid w:val="67776250"/>
    <w:rsid w:val="678A1321"/>
    <w:rsid w:val="678B5AFD"/>
    <w:rsid w:val="67AA29A7"/>
    <w:rsid w:val="67B47053"/>
    <w:rsid w:val="67B51A77"/>
    <w:rsid w:val="67C65A33"/>
    <w:rsid w:val="67CE1741"/>
    <w:rsid w:val="67DF62C5"/>
    <w:rsid w:val="67FD51CC"/>
    <w:rsid w:val="6809591F"/>
    <w:rsid w:val="6811140F"/>
    <w:rsid w:val="6817328F"/>
    <w:rsid w:val="6837248C"/>
    <w:rsid w:val="68456D65"/>
    <w:rsid w:val="685309F8"/>
    <w:rsid w:val="68640AED"/>
    <w:rsid w:val="68664B20"/>
    <w:rsid w:val="687025EE"/>
    <w:rsid w:val="6878062D"/>
    <w:rsid w:val="687A11E5"/>
    <w:rsid w:val="689B6EBF"/>
    <w:rsid w:val="68A65864"/>
    <w:rsid w:val="68AA7102"/>
    <w:rsid w:val="68C46CA4"/>
    <w:rsid w:val="68CD2DF1"/>
    <w:rsid w:val="68DA5E49"/>
    <w:rsid w:val="68DB2B3B"/>
    <w:rsid w:val="68E7246A"/>
    <w:rsid w:val="68E96A4F"/>
    <w:rsid w:val="68F93BE6"/>
    <w:rsid w:val="68FB170C"/>
    <w:rsid w:val="68FF6DF4"/>
    <w:rsid w:val="690A194F"/>
    <w:rsid w:val="69204F3B"/>
    <w:rsid w:val="694C2A9E"/>
    <w:rsid w:val="69721032"/>
    <w:rsid w:val="69764E27"/>
    <w:rsid w:val="697F058F"/>
    <w:rsid w:val="69823BDB"/>
    <w:rsid w:val="69846EAC"/>
    <w:rsid w:val="699302E5"/>
    <w:rsid w:val="699C4550"/>
    <w:rsid w:val="69A74684"/>
    <w:rsid w:val="69A97722"/>
    <w:rsid w:val="69B471CE"/>
    <w:rsid w:val="69B5672E"/>
    <w:rsid w:val="69BE518B"/>
    <w:rsid w:val="69C42446"/>
    <w:rsid w:val="69D64202"/>
    <w:rsid w:val="6A244C92"/>
    <w:rsid w:val="6A2B06BD"/>
    <w:rsid w:val="6A3258FA"/>
    <w:rsid w:val="6A506220"/>
    <w:rsid w:val="6A535578"/>
    <w:rsid w:val="6A6A3EBF"/>
    <w:rsid w:val="6A6B28C1"/>
    <w:rsid w:val="6A813F55"/>
    <w:rsid w:val="6A880A51"/>
    <w:rsid w:val="6A9E77F5"/>
    <w:rsid w:val="6AC65D4A"/>
    <w:rsid w:val="6AC76C5B"/>
    <w:rsid w:val="6AD96430"/>
    <w:rsid w:val="6ADC53BD"/>
    <w:rsid w:val="6ADE3093"/>
    <w:rsid w:val="6AE00903"/>
    <w:rsid w:val="6AEB70B9"/>
    <w:rsid w:val="6AF02DC7"/>
    <w:rsid w:val="6B151E45"/>
    <w:rsid w:val="6B214AAC"/>
    <w:rsid w:val="6B472352"/>
    <w:rsid w:val="6B517D09"/>
    <w:rsid w:val="6B7802BF"/>
    <w:rsid w:val="6B851761"/>
    <w:rsid w:val="6B9666AF"/>
    <w:rsid w:val="6BC3046E"/>
    <w:rsid w:val="6BCA2BDB"/>
    <w:rsid w:val="6BD44481"/>
    <w:rsid w:val="6BD77B89"/>
    <w:rsid w:val="6BE163E9"/>
    <w:rsid w:val="6BF84629"/>
    <w:rsid w:val="6C066C46"/>
    <w:rsid w:val="6C0F0B09"/>
    <w:rsid w:val="6C150D37"/>
    <w:rsid w:val="6C224890"/>
    <w:rsid w:val="6C303DC2"/>
    <w:rsid w:val="6C31178D"/>
    <w:rsid w:val="6C507FC1"/>
    <w:rsid w:val="6C522A70"/>
    <w:rsid w:val="6C56457F"/>
    <w:rsid w:val="6C567591"/>
    <w:rsid w:val="6C6A0E2B"/>
    <w:rsid w:val="6C882CD0"/>
    <w:rsid w:val="6C976C1F"/>
    <w:rsid w:val="6C9822E2"/>
    <w:rsid w:val="6CA16A6E"/>
    <w:rsid w:val="6CAF7CE4"/>
    <w:rsid w:val="6CB16AD5"/>
    <w:rsid w:val="6CC02282"/>
    <w:rsid w:val="6CC32850"/>
    <w:rsid w:val="6CCA700A"/>
    <w:rsid w:val="6CD418CB"/>
    <w:rsid w:val="6CD60113"/>
    <w:rsid w:val="6CDF1C45"/>
    <w:rsid w:val="6D1254AA"/>
    <w:rsid w:val="6D1902BC"/>
    <w:rsid w:val="6D323B6A"/>
    <w:rsid w:val="6D3F6EA2"/>
    <w:rsid w:val="6D5F72F2"/>
    <w:rsid w:val="6D627EBE"/>
    <w:rsid w:val="6D8749FD"/>
    <w:rsid w:val="6D8D7153"/>
    <w:rsid w:val="6D9C10A4"/>
    <w:rsid w:val="6DBB59FB"/>
    <w:rsid w:val="6DDE23A0"/>
    <w:rsid w:val="6DE3529E"/>
    <w:rsid w:val="6DF1132F"/>
    <w:rsid w:val="6E042C2A"/>
    <w:rsid w:val="6E0E1A5F"/>
    <w:rsid w:val="6E137010"/>
    <w:rsid w:val="6E150477"/>
    <w:rsid w:val="6E1B709B"/>
    <w:rsid w:val="6E636716"/>
    <w:rsid w:val="6E6B15F2"/>
    <w:rsid w:val="6E6C47A7"/>
    <w:rsid w:val="6EA04641"/>
    <w:rsid w:val="6EA4597D"/>
    <w:rsid w:val="6EAA606E"/>
    <w:rsid w:val="6EB16425"/>
    <w:rsid w:val="6EB327ED"/>
    <w:rsid w:val="6EB64476"/>
    <w:rsid w:val="6EED1FF5"/>
    <w:rsid w:val="6F1352D6"/>
    <w:rsid w:val="6F1439DE"/>
    <w:rsid w:val="6F2413FB"/>
    <w:rsid w:val="6F2655CF"/>
    <w:rsid w:val="6F2B4A33"/>
    <w:rsid w:val="6F561D13"/>
    <w:rsid w:val="6F694C60"/>
    <w:rsid w:val="6FB10C62"/>
    <w:rsid w:val="6FB96C38"/>
    <w:rsid w:val="6FBF41C2"/>
    <w:rsid w:val="6FCF227C"/>
    <w:rsid w:val="6FDB5DF3"/>
    <w:rsid w:val="6FDF62BA"/>
    <w:rsid w:val="6FE01BE4"/>
    <w:rsid w:val="6FF23B92"/>
    <w:rsid w:val="6FF45107"/>
    <w:rsid w:val="70076BE8"/>
    <w:rsid w:val="701025DA"/>
    <w:rsid w:val="70167664"/>
    <w:rsid w:val="70344BA7"/>
    <w:rsid w:val="7042491C"/>
    <w:rsid w:val="70547015"/>
    <w:rsid w:val="705D2CAF"/>
    <w:rsid w:val="706376B7"/>
    <w:rsid w:val="706731CF"/>
    <w:rsid w:val="707B493C"/>
    <w:rsid w:val="709D26ED"/>
    <w:rsid w:val="70B5022D"/>
    <w:rsid w:val="70B96C2C"/>
    <w:rsid w:val="70BC291B"/>
    <w:rsid w:val="70C1238E"/>
    <w:rsid w:val="70CE5177"/>
    <w:rsid w:val="70D50A94"/>
    <w:rsid w:val="70E1498D"/>
    <w:rsid w:val="70E1568B"/>
    <w:rsid w:val="70F53623"/>
    <w:rsid w:val="70FC0717"/>
    <w:rsid w:val="70FD0CB3"/>
    <w:rsid w:val="7131029F"/>
    <w:rsid w:val="7134243C"/>
    <w:rsid w:val="714B778F"/>
    <w:rsid w:val="714C14FB"/>
    <w:rsid w:val="71531542"/>
    <w:rsid w:val="71594B1A"/>
    <w:rsid w:val="71696914"/>
    <w:rsid w:val="716E0414"/>
    <w:rsid w:val="71750DA8"/>
    <w:rsid w:val="717C53B4"/>
    <w:rsid w:val="71852264"/>
    <w:rsid w:val="71B44B4E"/>
    <w:rsid w:val="71C225C6"/>
    <w:rsid w:val="71C719BD"/>
    <w:rsid w:val="71CD20B4"/>
    <w:rsid w:val="71D465DA"/>
    <w:rsid w:val="71FB09CF"/>
    <w:rsid w:val="72057945"/>
    <w:rsid w:val="72081016"/>
    <w:rsid w:val="72186B9B"/>
    <w:rsid w:val="721F2D5F"/>
    <w:rsid w:val="722417A6"/>
    <w:rsid w:val="723960A5"/>
    <w:rsid w:val="723C4572"/>
    <w:rsid w:val="7253310B"/>
    <w:rsid w:val="7258197D"/>
    <w:rsid w:val="72617199"/>
    <w:rsid w:val="72757747"/>
    <w:rsid w:val="72835CC6"/>
    <w:rsid w:val="7287390F"/>
    <w:rsid w:val="72966C68"/>
    <w:rsid w:val="729B611A"/>
    <w:rsid w:val="729D55E2"/>
    <w:rsid w:val="72A21A8B"/>
    <w:rsid w:val="72B33057"/>
    <w:rsid w:val="72B6607D"/>
    <w:rsid w:val="72CB7615"/>
    <w:rsid w:val="72CD39AE"/>
    <w:rsid w:val="72CD5D48"/>
    <w:rsid w:val="72CD76A8"/>
    <w:rsid w:val="72D7609F"/>
    <w:rsid w:val="72E826FD"/>
    <w:rsid w:val="72F0685D"/>
    <w:rsid w:val="730438B3"/>
    <w:rsid w:val="7309711B"/>
    <w:rsid w:val="730D4F58"/>
    <w:rsid w:val="7311772D"/>
    <w:rsid w:val="731820A4"/>
    <w:rsid w:val="731F242B"/>
    <w:rsid w:val="732B21DF"/>
    <w:rsid w:val="73421C18"/>
    <w:rsid w:val="734A6819"/>
    <w:rsid w:val="73531308"/>
    <w:rsid w:val="73534C7E"/>
    <w:rsid w:val="735600FB"/>
    <w:rsid w:val="736E6F7E"/>
    <w:rsid w:val="73700F48"/>
    <w:rsid w:val="737F06A0"/>
    <w:rsid w:val="737F096E"/>
    <w:rsid w:val="738605D1"/>
    <w:rsid w:val="73AD05F4"/>
    <w:rsid w:val="73BB1DD0"/>
    <w:rsid w:val="73DE7C85"/>
    <w:rsid w:val="73F529AB"/>
    <w:rsid w:val="73F61544"/>
    <w:rsid w:val="74106F3C"/>
    <w:rsid w:val="74273CFD"/>
    <w:rsid w:val="742B36C8"/>
    <w:rsid w:val="742C4E6F"/>
    <w:rsid w:val="74621F57"/>
    <w:rsid w:val="7497260F"/>
    <w:rsid w:val="74974695"/>
    <w:rsid w:val="74995E18"/>
    <w:rsid w:val="749B3DA3"/>
    <w:rsid w:val="749D3FBF"/>
    <w:rsid w:val="74A808EF"/>
    <w:rsid w:val="74B84955"/>
    <w:rsid w:val="74CA4688"/>
    <w:rsid w:val="750000AA"/>
    <w:rsid w:val="75017940"/>
    <w:rsid w:val="75134281"/>
    <w:rsid w:val="75183646"/>
    <w:rsid w:val="75233019"/>
    <w:rsid w:val="75420C99"/>
    <w:rsid w:val="755C3532"/>
    <w:rsid w:val="75661BB1"/>
    <w:rsid w:val="75745049"/>
    <w:rsid w:val="759650DB"/>
    <w:rsid w:val="75A373B3"/>
    <w:rsid w:val="75C231D4"/>
    <w:rsid w:val="75CF2869"/>
    <w:rsid w:val="75D24AC9"/>
    <w:rsid w:val="75DE03EB"/>
    <w:rsid w:val="75EC0026"/>
    <w:rsid w:val="76037E52"/>
    <w:rsid w:val="76124539"/>
    <w:rsid w:val="761262E7"/>
    <w:rsid w:val="766341D3"/>
    <w:rsid w:val="76675EA0"/>
    <w:rsid w:val="76A21419"/>
    <w:rsid w:val="76A22693"/>
    <w:rsid w:val="76BB072D"/>
    <w:rsid w:val="76C515AB"/>
    <w:rsid w:val="76CE3202"/>
    <w:rsid w:val="76D35A76"/>
    <w:rsid w:val="76DD06A3"/>
    <w:rsid w:val="76FE2465"/>
    <w:rsid w:val="77030187"/>
    <w:rsid w:val="77043E82"/>
    <w:rsid w:val="7749547D"/>
    <w:rsid w:val="774D3A7A"/>
    <w:rsid w:val="7769092B"/>
    <w:rsid w:val="777E4F45"/>
    <w:rsid w:val="77974CF6"/>
    <w:rsid w:val="779B11A0"/>
    <w:rsid w:val="77A407E3"/>
    <w:rsid w:val="77A61681"/>
    <w:rsid w:val="77A967D7"/>
    <w:rsid w:val="77B118E6"/>
    <w:rsid w:val="77CD4BBB"/>
    <w:rsid w:val="77F0465E"/>
    <w:rsid w:val="78014865"/>
    <w:rsid w:val="782115C4"/>
    <w:rsid w:val="78220996"/>
    <w:rsid w:val="7826701A"/>
    <w:rsid w:val="783532AA"/>
    <w:rsid w:val="78407669"/>
    <w:rsid w:val="78623556"/>
    <w:rsid w:val="786524C7"/>
    <w:rsid w:val="78693FF6"/>
    <w:rsid w:val="786D0058"/>
    <w:rsid w:val="787222E6"/>
    <w:rsid w:val="78753951"/>
    <w:rsid w:val="78767001"/>
    <w:rsid w:val="788A3B1A"/>
    <w:rsid w:val="78947487"/>
    <w:rsid w:val="789D458E"/>
    <w:rsid w:val="78A771BA"/>
    <w:rsid w:val="78AC47D1"/>
    <w:rsid w:val="78AC487D"/>
    <w:rsid w:val="78C5383A"/>
    <w:rsid w:val="78CB3D3E"/>
    <w:rsid w:val="78D06373"/>
    <w:rsid w:val="78D75C24"/>
    <w:rsid w:val="78E55958"/>
    <w:rsid w:val="790073DA"/>
    <w:rsid w:val="790609F0"/>
    <w:rsid w:val="790A658D"/>
    <w:rsid w:val="792A3948"/>
    <w:rsid w:val="794C13B1"/>
    <w:rsid w:val="794D10FB"/>
    <w:rsid w:val="795E2CD5"/>
    <w:rsid w:val="79662F2F"/>
    <w:rsid w:val="79667075"/>
    <w:rsid w:val="79687811"/>
    <w:rsid w:val="796C437B"/>
    <w:rsid w:val="79730DB9"/>
    <w:rsid w:val="797C0647"/>
    <w:rsid w:val="797D759C"/>
    <w:rsid w:val="797D7F1B"/>
    <w:rsid w:val="799E3CDC"/>
    <w:rsid w:val="79A614AB"/>
    <w:rsid w:val="79CD397D"/>
    <w:rsid w:val="79D75FA0"/>
    <w:rsid w:val="79E924E8"/>
    <w:rsid w:val="79FA5A10"/>
    <w:rsid w:val="7A0C2CC5"/>
    <w:rsid w:val="7A1E6FC3"/>
    <w:rsid w:val="7A1F6341"/>
    <w:rsid w:val="7A342CD0"/>
    <w:rsid w:val="7A396538"/>
    <w:rsid w:val="7A3E6E93"/>
    <w:rsid w:val="7A440FCE"/>
    <w:rsid w:val="7A4601A0"/>
    <w:rsid w:val="7A4773F3"/>
    <w:rsid w:val="7A49604F"/>
    <w:rsid w:val="7A5944E4"/>
    <w:rsid w:val="7A644541"/>
    <w:rsid w:val="7A65132B"/>
    <w:rsid w:val="7A804167"/>
    <w:rsid w:val="7AA117BE"/>
    <w:rsid w:val="7AA250FE"/>
    <w:rsid w:val="7AA27D23"/>
    <w:rsid w:val="7AA62455"/>
    <w:rsid w:val="7AC51B7A"/>
    <w:rsid w:val="7ADF0C11"/>
    <w:rsid w:val="7AE75F94"/>
    <w:rsid w:val="7AF214BD"/>
    <w:rsid w:val="7B354389"/>
    <w:rsid w:val="7B542EFE"/>
    <w:rsid w:val="7B57638E"/>
    <w:rsid w:val="7B590596"/>
    <w:rsid w:val="7B642F91"/>
    <w:rsid w:val="7B683283"/>
    <w:rsid w:val="7B6A3EEE"/>
    <w:rsid w:val="7B6C452B"/>
    <w:rsid w:val="7B794B8B"/>
    <w:rsid w:val="7B8225D5"/>
    <w:rsid w:val="7B8824E2"/>
    <w:rsid w:val="7B890DF9"/>
    <w:rsid w:val="7B921007"/>
    <w:rsid w:val="7B925B48"/>
    <w:rsid w:val="7B9300CC"/>
    <w:rsid w:val="7B9E3DAD"/>
    <w:rsid w:val="7BA10A5B"/>
    <w:rsid w:val="7BAB0D70"/>
    <w:rsid w:val="7BDC361F"/>
    <w:rsid w:val="7BFF0D1D"/>
    <w:rsid w:val="7C0F5A6A"/>
    <w:rsid w:val="7C105077"/>
    <w:rsid w:val="7C123663"/>
    <w:rsid w:val="7C2A4043"/>
    <w:rsid w:val="7C3012D4"/>
    <w:rsid w:val="7C3B4CBB"/>
    <w:rsid w:val="7C5A0B34"/>
    <w:rsid w:val="7C6043DA"/>
    <w:rsid w:val="7C66113B"/>
    <w:rsid w:val="7C6D7873"/>
    <w:rsid w:val="7C703D67"/>
    <w:rsid w:val="7C7F3FAA"/>
    <w:rsid w:val="7C8F1F7D"/>
    <w:rsid w:val="7CC11B23"/>
    <w:rsid w:val="7CD46ADE"/>
    <w:rsid w:val="7CE82885"/>
    <w:rsid w:val="7CEC7123"/>
    <w:rsid w:val="7CEE4420"/>
    <w:rsid w:val="7CF629D9"/>
    <w:rsid w:val="7D091BB4"/>
    <w:rsid w:val="7D364589"/>
    <w:rsid w:val="7D511DEB"/>
    <w:rsid w:val="7D584F27"/>
    <w:rsid w:val="7D5E522E"/>
    <w:rsid w:val="7D823D52"/>
    <w:rsid w:val="7DA4016C"/>
    <w:rsid w:val="7DB163E5"/>
    <w:rsid w:val="7DCC321F"/>
    <w:rsid w:val="7DD270EF"/>
    <w:rsid w:val="7DDC7906"/>
    <w:rsid w:val="7DE21B86"/>
    <w:rsid w:val="7DEF684F"/>
    <w:rsid w:val="7DF00B43"/>
    <w:rsid w:val="7DFA791B"/>
    <w:rsid w:val="7E503E50"/>
    <w:rsid w:val="7E506012"/>
    <w:rsid w:val="7E7A3F89"/>
    <w:rsid w:val="7E806AAD"/>
    <w:rsid w:val="7E862216"/>
    <w:rsid w:val="7E8835EA"/>
    <w:rsid w:val="7E906943"/>
    <w:rsid w:val="7E984F6A"/>
    <w:rsid w:val="7EA335E7"/>
    <w:rsid w:val="7EA634BC"/>
    <w:rsid w:val="7EAA3560"/>
    <w:rsid w:val="7EB51DE9"/>
    <w:rsid w:val="7EC21F19"/>
    <w:rsid w:val="7ECC0CF3"/>
    <w:rsid w:val="7EE10C7A"/>
    <w:rsid w:val="7EF77415"/>
    <w:rsid w:val="7F0C2F67"/>
    <w:rsid w:val="7F1205F3"/>
    <w:rsid w:val="7F17671C"/>
    <w:rsid w:val="7F1F76EA"/>
    <w:rsid w:val="7F2B084F"/>
    <w:rsid w:val="7F3E578D"/>
    <w:rsid w:val="7F3F2127"/>
    <w:rsid w:val="7F511C2E"/>
    <w:rsid w:val="7F547171"/>
    <w:rsid w:val="7F6B574A"/>
    <w:rsid w:val="7F6F2C44"/>
    <w:rsid w:val="7F8244DD"/>
    <w:rsid w:val="7F82628B"/>
    <w:rsid w:val="7F831D8B"/>
    <w:rsid w:val="7F8D7E04"/>
    <w:rsid w:val="7F8F261D"/>
    <w:rsid w:val="7F9B62E2"/>
    <w:rsid w:val="7FAB65E4"/>
    <w:rsid w:val="7FB84310"/>
    <w:rsid w:val="7FCF3049"/>
    <w:rsid w:val="7FD02953"/>
    <w:rsid w:val="7FE630F3"/>
    <w:rsid w:val="7FE84988"/>
    <w:rsid w:val="7FF10EA8"/>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3">
    <w:name w:val="heading 1"/>
    <w:basedOn w:val="1"/>
    <w:next w:val="1"/>
    <w:link w:val="33"/>
    <w:autoRedefine/>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4">
    <w:name w:val="heading 3"/>
    <w:basedOn w:val="1"/>
    <w:next w:val="1"/>
    <w:autoRedefine/>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5">
    <w:name w:val="heading 4"/>
    <w:basedOn w:val="1"/>
    <w:next w:val="1"/>
    <w:autoRedefine/>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Note Heading"/>
    <w:basedOn w:val="1"/>
    <w:next w:val="1"/>
    <w:autoRedefine/>
    <w:qFormat/>
    <w:uiPriority w:val="0"/>
    <w:pPr>
      <w:jc w:val="center"/>
    </w:pPr>
  </w:style>
  <w:style w:type="paragraph" w:styleId="7">
    <w:name w:val="Normal Indent"/>
    <w:basedOn w:val="1"/>
    <w:autoRedefine/>
    <w:qFormat/>
    <w:uiPriority w:val="0"/>
    <w:rPr>
      <w:kern w:val="2"/>
      <w:sz w:val="28"/>
    </w:rPr>
  </w:style>
  <w:style w:type="paragraph" w:styleId="8">
    <w:name w:val="annotation text"/>
    <w:basedOn w:val="1"/>
    <w:autoRedefine/>
    <w:qFormat/>
    <w:uiPriority w:val="0"/>
    <w:pPr>
      <w:jc w:val="left"/>
    </w:pPr>
  </w:style>
  <w:style w:type="paragraph" w:styleId="9">
    <w:name w:val="Body Text"/>
    <w:basedOn w:val="1"/>
    <w:next w:val="1"/>
    <w:autoRedefine/>
    <w:qFormat/>
    <w:uiPriority w:val="0"/>
    <w:pPr>
      <w:widowControl w:val="0"/>
      <w:adjustRightInd/>
      <w:snapToGrid/>
      <w:spacing w:after="120"/>
      <w:jc w:val="both"/>
    </w:pPr>
    <w:rPr>
      <w:rFonts w:ascii="Calibri" w:hAnsi="Calibri" w:eastAsia="宋体"/>
      <w:sz w:val="20"/>
      <w:szCs w:val="20"/>
    </w:rPr>
  </w:style>
  <w:style w:type="paragraph" w:styleId="10">
    <w:name w:val="Body Text Indent"/>
    <w:basedOn w:val="1"/>
    <w:next w:val="11"/>
    <w:unhideWhenUsed/>
    <w:qFormat/>
    <w:uiPriority w:val="99"/>
    <w:pPr>
      <w:spacing w:line="460" w:lineRule="exact"/>
      <w:ind w:firstLine="480" w:firstLineChars="200"/>
    </w:pPr>
    <w:rPr>
      <w:rFonts w:eastAsia="楷体_GB2312"/>
      <w:sz w:val="24"/>
    </w:rPr>
  </w:style>
  <w:style w:type="paragraph" w:customStyle="1" w:styleId="11">
    <w:name w:val="样式 正文文本缩进 + 行距: 1.5 倍行距"/>
    <w:basedOn w:val="12"/>
    <w:next w:val="1"/>
    <w:autoRedefine/>
    <w:qFormat/>
    <w:uiPriority w:val="0"/>
    <w:pPr>
      <w:spacing w:after="120" w:line="360" w:lineRule="auto"/>
      <w:ind w:left="90" w:leftChars="32" w:firstLine="560" w:firstLineChars="200"/>
    </w:pPr>
    <w:rPr>
      <w:rFonts w:cs="宋体"/>
      <w:sz w:val="24"/>
    </w:rPr>
  </w:style>
  <w:style w:type="paragraph" w:customStyle="1" w:styleId="12">
    <w:name w:val="Body Text Indent"/>
    <w:basedOn w:val="13"/>
    <w:next w:val="11"/>
    <w:autoRedefine/>
    <w:qFormat/>
    <w:uiPriority w:val="0"/>
    <w:pPr>
      <w:spacing w:after="120" w:afterLines="0"/>
      <w:ind w:left="420" w:leftChars="200"/>
    </w:pPr>
    <w:rPr>
      <w:rFonts w:ascii="Times New Roman" w:hAnsi="Times New Roman" w:eastAsia="宋体"/>
      <w:sz w:val="24"/>
    </w:rPr>
  </w:style>
  <w:style w:type="paragraph" w:customStyle="1" w:styleId="13">
    <w:name w:val="Normal"/>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styleId="14">
    <w:name w:val="footer"/>
    <w:basedOn w:val="1"/>
    <w:autoRedefine/>
    <w:qFormat/>
    <w:uiPriority w:val="0"/>
    <w:pPr>
      <w:tabs>
        <w:tab w:val="center" w:pos="4153"/>
        <w:tab w:val="right" w:pos="8306"/>
      </w:tabs>
    </w:pPr>
    <w:rPr>
      <w:rFonts w:ascii="Tahoma" w:hAnsi="Tahoma"/>
      <w:sz w:val="18"/>
      <w:szCs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7">
    <w:name w:val="Body Text First Indent 2"/>
    <w:basedOn w:val="10"/>
    <w:next w:val="1"/>
    <w:autoRedefine/>
    <w:qFormat/>
    <w:uiPriority w:val="0"/>
    <w:pPr>
      <w:spacing w:after="120"/>
      <w:ind w:left="420" w:leftChars="200" w:firstLine="420"/>
    </w:pPr>
    <w:rPr>
      <w:rFonts w:ascii="Times New Roman" w:hAnsi="Times New Roman" w:eastAsia="宋体"/>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22"/>
    <w:rPr>
      <w:b/>
      <w:bCs/>
    </w:rPr>
  </w:style>
  <w:style w:type="character" w:styleId="22">
    <w:name w:val="annotation reference"/>
    <w:basedOn w:val="20"/>
    <w:autoRedefine/>
    <w:semiHidden/>
    <w:qFormat/>
    <w:uiPriority w:val="0"/>
    <w:rPr>
      <w:sz w:val="21"/>
    </w:rPr>
  </w:style>
  <w:style w:type="paragraph" w:customStyle="1" w:styleId="23">
    <w:name w:val="样式35"/>
    <w:basedOn w:val="1"/>
    <w:next w:val="1"/>
    <w:qFormat/>
    <w:uiPriority w:val="0"/>
    <w:pPr>
      <w:spacing w:line="312" w:lineRule="auto"/>
      <w:ind w:firstLine="567"/>
    </w:pPr>
    <w:rPr>
      <w:rFonts w:ascii="宋体"/>
      <w:sz w:val="28"/>
    </w:rPr>
  </w:style>
  <w:style w:type="paragraph" w:customStyle="1" w:styleId="24">
    <w:name w:val="Table Paragraph"/>
    <w:basedOn w:val="1"/>
    <w:autoRedefine/>
    <w:qFormat/>
    <w:uiPriority w:val="1"/>
    <w:pPr>
      <w:jc w:val="center"/>
    </w:pPr>
    <w:rPr>
      <w:rFonts w:ascii="宋体" w:hAnsi="宋体" w:eastAsia="宋体" w:cs="宋体"/>
      <w:lang w:val="zh-CN" w:eastAsia="zh-CN" w:bidi="zh-CN"/>
    </w:rPr>
  </w:style>
  <w:style w:type="paragraph" w:customStyle="1" w:styleId="25">
    <w:name w:val="我的表格文字"/>
    <w:basedOn w:val="1"/>
    <w:autoRedefine/>
    <w:qFormat/>
    <w:uiPriority w:val="0"/>
    <w:pPr>
      <w:jc w:val="center"/>
    </w:pPr>
    <w:rPr>
      <w:rFonts w:hAnsi="宋体" w:eastAsia="Times New Roman" w:cs="宋体"/>
      <w:color w:val="000000"/>
      <w:szCs w:val="21"/>
    </w:rPr>
  </w:style>
  <w:style w:type="character" w:customStyle="1" w:styleId="26">
    <w:name w:val="报告表正文 Char1"/>
    <w:autoRedefine/>
    <w:qFormat/>
    <w:uiPriority w:val="0"/>
    <w:rPr>
      <w:rFonts w:eastAsia="楷体_GB2312"/>
      <w:kern w:val="2"/>
      <w:sz w:val="24"/>
      <w:szCs w:val="24"/>
      <w:lang w:val="en-US" w:eastAsia="zh-CN" w:bidi="ar-SA"/>
    </w:rPr>
  </w:style>
  <w:style w:type="paragraph" w:customStyle="1" w:styleId="27">
    <w:name w:val="中文报告书样式"/>
    <w:basedOn w:val="1"/>
    <w:autoRedefine/>
    <w:qFormat/>
    <w:uiPriority w:val="0"/>
    <w:pPr>
      <w:adjustRightInd w:val="0"/>
      <w:spacing w:line="480" w:lineRule="atLeast"/>
      <w:ind w:firstLine="482"/>
      <w:textAlignment w:val="baseline"/>
    </w:pPr>
    <w:rPr>
      <w:kern w:val="24"/>
      <w:sz w:val="24"/>
    </w:rPr>
  </w:style>
  <w:style w:type="paragraph" w:customStyle="1" w:styleId="28">
    <w:name w:val="p0"/>
    <w:basedOn w:val="1"/>
    <w:autoRedefine/>
    <w:qFormat/>
    <w:uiPriority w:val="0"/>
    <w:pPr>
      <w:widowControl/>
    </w:pPr>
    <w:rPr>
      <w:rFonts w:hint="eastAsia"/>
    </w:rPr>
  </w:style>
  <w:style w:type="paragraph" w:customStyle="1" w:styleId="29">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0">
    <w:name w:val="font21"/>
    <w:basedOn w:val="20"/>
    <w:autoRedefine/>
    <w:qFormat/>
    <w:uiPriority w:val="0"/>
    <w:rPr>
      <w:rFonts w:hint="eastAsia" w:ascii="宋体" w:hAnsi="宋体" w:eastAsia="宋体" w:cs="宋体"/>
      <w:color w:val="000000"/>
      <w:sz w:val="24"/>
      <w:szCs w:val="24"/>
      <w:u w:val="none"/>
    </w:rPr>
  </w:style>
  <w:style w:type="character" w:customStyle="1" w:styleId="31">
    <w:name w:val="font31"/>
    <w:basedOn w:val="20"/>
    <w:autoRedefine/>
    <w:qFormat/>
    <w:uiPriority w:val="0"/>
    <w:rPr>
      <w:rFonts w:hint="eastAsia" w:ascii="宋体" w:hAnsi="宋体" w:eastAsia="宋体" w:cs="宋体"/>
      <w:color w:val="000000"/>
      <w:sz w:val="22"/>
      <w:szCs w:val="22"/>
      <w:u w:val="none"/>
    </w:rPr>
  </w:style>
  <w:style w:type="paragraph" w:customStyle="1" w:styleId="32">
    <w:name w:val="三同时样式"/>
    <w:basedOn w:val="1"/>
    <w:autoRedefine/>
    <w:qFormat/>
    <w:uiPriority w:val="0"/>
    <w:pPr>
      <w:spacing w:line="240" w:lineRule="auto"/>
      <w:ind w:firstLine="0" w:firstLineChars="0"/>
      <w:jc w:val="center"/>
    </w:pPr>
    <w:rPr>
      <w:b/>
      <w:sz w:val="18"/>
      <w:szCs w:val="18"/>
    </w:rPr>
  </w:style>
  <w:style w:type="character" w:customStyle="1" w:styleId="33">
    <w:name w:val="标题 1 Char"/>
    <w:link w:val="3"/>
    <w:autoRedefine/>
    <w:qFormat/>
    <w:uiPriority w:val="0"/>
    <w:rPr>
      <w:b/>
      <w:kern w:val="44"/>
      <w:sz w:val="28"/>
    </w:rPr>
  </w:style>
  <w:style w:type="paragraph" w:customStyle="1" w:styleId="34">
    <w:name w:val="列表段落"/>
    <w:basedOn w:val="1"/>
    <w:autoRedefine/>
    <w:qFormat/>
    <w:uiPriority w:val="0"/>
    <w:pPr>
      <w:ind w:firstLine="420" w:firstLineChars="200"/>
    </w:pPr>
    <w:rPr>
      <w:rFonts w:ascii="Calibri" w:hAnsi="Calibri" w:eastAsia="宋体" w:cs="宋体"/>
      <w:szCs w:val="21"/>
    </w:rPr>
  </w:style>
  <w:style w:type="character" w:customStyle="1" w:styleId="35">
    <w:name w:val="17"/>
    <w:basedOn w:val="20"/>
    <w:autoRedefine/>
    <w:qFormat/>
    <w:uiPriority w:val="0"/>
    <w:rPr>
      <w:rFonts w:hint="default" w:ascii="Times New Roman" w:hAnsi="Times New Roman" w:cs="Times New Roman"/>
      <w:color w:val="000000"/>
      <w:sz w:val="22"/>
      <w:szCs w:val="22"/>
      <w:vertAlign w:val="superscript"/>
    </w:rPr>
  </w:style>
  <w:style w:type="paragraph" w:customStyle="1" w:styleId="36">
    <w:name w:val=" Char Char1 Char"/>
    <w:basedOn w:val="1"/>
    <w:autoRedefine/>
    <w:qFormat/>
    <w:uiPriority w:val="0"/>
    <w:pPr>
      <w:spacing w:line="360" w:lineRule="auto"/>
      <w:ind w:firstLine="200" w:firstLineChars="200"/>
    </w:pPr>
    <w:rPr>
      <w:rFonts w:ascii="宋体" w:hAnsi="宋体" w:cs="宋体"/>
      <w:szCs w:val="24"/>
    </w:rPr>
  </w:style>
  <w:style w:type="paragraph" w:customStyle="1" w:styleId="37">
    <w:name w:val="表格"/>
    <w:basedOn w:val="1"/>
    <w:next w:val="1"/>
    <w:autoRedefine/>
    <w:qFormat/>
    <w:uiPriority w:val="0"/>
    <w:pPr>
      <w:keepNext/>
      <w:adjustRightInd w:val="0"/>
      <w:spacing w:line="312" w:lineRule="atLeast"/>
      <w:jc w:val="center"/>
      <w:textAlignment w:val="baseline"/>
    </w:pPr>
    <w:rPr>
      <w:kern w:val="0"/>
    </w:rPr>
  </w:style>
  <w:style w:type="character" w:customStyle="1" w:styleId="38">
    <w:name w:val="15"/>
    <w:basedOn w:val="20"/>
    <w:autoRedefine/>
    <w:qFormat/>
    <w:uiPriority w:val="0"/>
    <w:rPr>
      <w:rFonts w:hint="eastAsia" w:ascii="宋体" w:hAnsi="宋体" w:eastAsia="宋体" w:cs="宋体"/>
      <w:color w:val="000000"/>
      <w:sz w:val="20"/>
      <w:szCs w:val="20"/>
    </w:rPr>
  </w:style>
  <w:style w:type="character" w:customStyle="1" w:styleId="39">
    <w:name w:val="16"/>
    <w:basedOn w:val="20"/>
    <w:autoRedefine/>
    <w:qFormat/>
    <w:uiPriority w:val="0"/>
    <w:rPr>
      <w:rFonts w:hint="default" w:ascii="Times New Roman" w:hAnsi="Times New Roman" w:cs="Times New Roman"/>
      <w:color w:val="000000"/>
      <w:sz w:val="20"/>
      <w:szCs w:val="20"/>
    </w:rPr>
  </w:style>
  <w:style w:type="character" w:customStyle="1" w:styleId="40">
    <w:name w:val="18"/>
    <w:basedOn w:val="20"/>
    <w:autoRedefine/>
    <w:qFormat/>
    <w:uiPriority w:val="0"/>
    <w:rPr>
      <w:rFonts w:hint="default" w:ascii="Times New Roman" w:hAnsi="Times New Roman" w:cs="Times New Roman"/>
      <w:color w:val="000000"/>
      <w:sz w:val="20"/>
      <w:szCs w:val="20"/>
    </w:rPr>
  </w:style>
  <w:style w:type="character" w:customStyle="1" w:styleId="41">
    <w:name w:val="21"/>
    <w:basedOn w:val="20"/>
    <w:autoRedefine/>
    <w:qFormat/>
    <w:uiPriority w:val="0"/>
    <w:rPr>
      <w:rFonts w:hint="default" w:ascii="Times New Roman" w:hAnsi="Times New Roman" w:cs="Times New Roman"/>
      <w:color w:val="000000"/>
      <w:sz w:val="21"/>
      <w:szCs w:val="21"/>
    </w:rPr>
  </w:style>
  <w:style w:type="character" w:customStyle="1" w:styleId="42">
    <w:name w:val="19"/>
    <w:basedOn w:val="20"/>
    <w:autoRedefine/>
    <w:qFormat/>
    <w:uiPriority w:val="0"/>
    <w:rPr>
      <w:rFonts w:hint="default" w:ascii="Times New Roman" w:hAnsi="Times New Roman" w:cs="Times New Roman"/>
      <w:color w:val="000000"/>
      <w:sz w:val="20"/>
      <w:szCs w:val="20"/>
    </w:rPr>
  </w:style>
  <w:style w:type="paragraph" w:customStyle="1" w:styleId="43">
    <w:name w:val="表内格式"/>
    <w:basedOn w:val="1"/>
    <w:autoRedefine/>
    <w:qFormat/>
    <w:uiPriority w:val="0"/>
    <w:pPr>
      <w:spacing w:line="240" w:lineRule="exact"/>
      <w:jc w:val="center"/>
    </w:pPr>
    <w:rPr>
      <w:rFonts w:ascii="宋体" w:hAnsi="宋体"/>
      <w:sz w:val="21"/>
    </w:rPr>
  </w:style>
  <w:style w:type="paragraph" w:customStyle="1" w:styleId="44">
    <w:name w:val="报告表正文"/>
    <w:basedOn w:val="1"/>
    <w:autoRedefine/>
    <w:qFormat/>
    <w:uiPriority w:val="0"/>
    <w:pPr>
      <w:adjustRightInd w:val="0"/>
      <w:spacing w:line="312" w:lineRule="auto"/>
      <w:ind w:left="113" w:right="113" w:firstLine="482"/>
      <w:jc w:val="left"/>
      <w:textAlignment w:val="baseline"/>
    </w:pPr>
    <w:rPr>
      <w:kern w:val="0"/>
      <w:sz w:val="24"/>
    </w:rPr>
  </w:style>
  <w:style w:type="paragraph" w:customStyle="1" w:styleId="45">
    <w:name w:val="正文1"/>
    <w:basedOn w:val="1"/>
    <w:autoRedefine/>
    <w:qFormat/>
    <w:uiPriority w:val="0"/>
    <w:pPr>
      <w:ind w:firstLine="552"/>
    </w:pPr>
    <w:rPr>
      <w:rFonts w:ascii="楷体_GB2312" w:eastAsia="楷体_GB2312"/>
      <w:b/>
    </w:rPr>
  </w:style>
  <w:style w:type="character" w:customStyle="1" w:styleId="46">
    <w:name w:val="22"/>
    <w:basedOn w:val="20"/>
    <w:autoRedefine/>
    <w:qFormat/>
    <w:uiPriority w:val="0"/>
    <w:rPr>
      <w:rFonts w:hint="default" w:ascii="Times New Roman" w:hAnsi="Times New Roman" w:cs="Times New Roman"/>
      <w:color w:val="000000"/>
      <w:sz w:val="21"/>
      <w:szCs w:val="21"/>
    </w:rPr>
  </w:style>
  <w:style w:type="paragraph" w:customStyle="1" w:styleId="47">
    <w:name w:val="鸿达表格文字"/>
    <w:basedOn w:val="1"/>
    <w:autoRedefine/>
    <w:qFormat/>
    <w:uiPriority w:val="0"/>
    <w:pPr>
      <w:contextualSpacing/>
      <w:jc w:val="center"/>
      <w:textAlignment w:val="baseline"/>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11010</Words>
  <Characters>13624</Characters>
  <Lines>0</Lines>
  <Paragraphs>0</Paragraphs>
  <TotalTime>0</TotalTime>
  <ScaleCrop>false</ScaleCrop>
  <LinksUpToDate>false</LinksUpToDate>
  <CharactersWithSpaces>13903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cp:lastModifiedBy>
  <cp:lastPrinted>2024-05-10T08:19:00Z</cp:lastPrinted>
  <dcterms:modified xsi:type="dcterms:W3CDTF">2024-05-31T02:59:48Z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D8931FA75FA64538A86FDC1E1B357EA2</vt:lpwstr>
  </property>
</Properties>
</file>